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D5AC7" w14:textId="22E9874A" w:rsidR="00872401" w:rsidRPr="00D05427" w:rsidRDefault="00872401" w:rsidP="00872401">
      <w:pPr>
        <w:jc w:val="center"/>
        <w:rPr>
          <w:b/>
          <w:bCs/>
          <w:sz w:val="24"/>
          <w:szCs w:val="28"/>
        </w:rPr>
      </w:pPr>
      <w:r w:rsidRPr="00D05427">
        <w:rPr>
          <w:b/>
          <w:bCs/>
          <w:sz w:val="24"/>
          <w:szCs w:val="28"/>
        </w:rPr>
        <w:t xml:space="preserve">Protokol o určení vnějších vlivů č. </w:t>
      </w:r>
      <w:r w:rsidR="00BB5D00">
        <w:rPr>
          <w:b/>
          <w:bCs/>
          <w:sz w:val="24"/>
          <w:szCs w:val="28"/>
        </w:rPr>
        <w:t>R21050</w:t>
      </w:r>
    </w:p>
    <w:p w14:paraId="637415EA" w14:textId="77777777" w:rsidR="00E07336" w:rsidRDefault="00E07336" w:rsidP="00E0733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24"/>
          <w:szCs w:val="24"/>
        </w:rPr>
        <w:t xml:space="preserve">SPORTOVNÍ </w:t>
      </w:r>
      <w:proofErr w:type="gramStart"/>
      <w:r>
        <w:rPr>
          <w:rFonts w:ascii="Verdana" w:hAnsi="Verdana" w:cs="Verdana"/>
          <w:b/>
          <w:bCs/>
          <w:color w:val="000000"/>
          <w:sz w:val="24"/>
          <w:szCs w:val="24"/>
        </w:rPr>
        <w:t>ZÁZEMÍ - OBEC</w:t>
      </w:r>
      <w:proofErr w:type="gramEnd"/>
      <w:r>
        <w:rPr>
          <w:rFonts w:ascii="Verdana" w:hAnsi="Verdana" w:cs="Verdana"/>
          <w:b/>
          <w:bCs/>
          <w:color w:val="000000"/>
          <w:sz w:val="24"/>
          <w:szCs w:val="24"/>
        </w:rPr>
        <w:t xml:space="preserve"> BORY</w:t>
      </w:r>
    </w:p>
    <w:p w14:paraId="07283165" w14:textId="55529C87" w:rsidR="00E07336" w:rsidRDefault="00E07336" w:rsidP="00E0733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4"/>
          <w:szCs w:val="24"/>
        </w:rPr>
      </w:pPr>
      <w:r>
        <w:rPr>
          <w:rFonts w:ascii="Verdana" w:hAnsi="Verdana" w:cs="Verdana"/>
          <w:color w:val="000000"/>
          <w:sz w:val="24"/>
          <w:szCs w:val="24"/>
        </w:rPr>
        <w:t xml:space="preserve">Bory, </w:t>
      </w:r>
      <w:proofErr w:type="spellStart"/>
      <w:r>
        <w:rPr>
          <w:rFonts w:ascii="Verdana" w:hAnsi="Verdana" w:cs="Verdana"/>
          <w:color w:val="000000"/>
          <w:sz w:val="24"/>
          <w:szCs w:val="24"/>
        </w:rPr>
        <w:t>parc.č</w:t>
      </w:r>
      <w:proofErr w:type="spellEnd"/>
      <w:r>
        <w:rPr>
          <w:rFonts w:ascii="Verdana" w:hAnsi="Verdana" w:cs="Verdana"/>
          <w:color w:val="000000"/>
          <w:sz w:val="24"/>
          <w:szCs w:val="24"/>
        </w:rPr>
        <w:t xml:space="preserve">. 138/1, 138/3, </w:t>
      </w:r>
      <w:proofErr w:type="spellStart"/>
      <w:r>
        <w:rPr>
          <w:rFonts w:ascii="Verdana" w:hAnsi="Verdana" w:cs="Verdana"/>
          <w:color w:val="000000"/>
          <w:sz w:val="24"/>
          <w:szCs w:val="24"/>
        </w:rPr>
        <w:t>k.ú</w:t>
      </w:r>
      <w:proofErr w:type="spellEnd"/>
      <w:r>
        <w:rPr>
          <w:rFonts w:ascii="Verdana" w:hAnsi="Verdana" w:cs="Verdana"/>
          <w:color w:val="000000"/>
          <w:sz w:val="24"/>
          <w:szCs w:val="24"/>
        </w:rPr>
        <w:t>. Horní Bory</w:t>
      </w:r>
    </w:p>
    <w:p w14:paraId="0FE07D28" w14:textId="2BFB9AB4" w:rsidR="00872401" w:rsidRPr="00D05427" w:rsidRDefault="00872401" w:rsidP="00872401">
      <w:pPr>
        <w:jc w:val="center"/>
        <w:rPr>
          <w:b/>
          <w:bCs/>
          <w:sz w:val="24"/>
          <w:szCs w:val="28"/>
        </w:rPr>
      </w:pPr>
    </w:p>
    <w:p w14:paraId="322E1A8F" w14:textId="77777777" w:rsidR="00872401" w:rsidRDefault="00872401" w:rsidP="00872401"/>
    <w:p w14:paraId="2DBDAE2D" w14:textId="77777777" w:rsidR="00872401" w:rsidRPr="00D05427" w:rsidRDefault="00872401" w:rsidP="00872401">
      <w:pPr>
        <w:keepNext/>
        <w:rPr>
          <w:b/>
          <w:bCs/>
        </w:rPr>
      </w:pPr>
      <w:r w:rsidRPr="00D05427">
        <w:rPr>
          <w:b/>
          <w:bCs/>
        </w:rPr>
        <w:t>Složení komise:</w:t>
      </w:r>
    </w:p>
    <w:p w14:paraId="60CFC019" w14:textId="253ADEF6" w:rsidR="00872401" w:rsidRDefault="00872401" w:rsidP="00872401">
      <w:pPr>
        <w:tabs>
          <w:tab w:val="left" w:pos="1701"/>
          <w:tab w:val="left" w:pos="4111"/>
          <w:tab w:val="right" w:pos="9072"/>
        </w:tabs>
      </w:pPr>
      <w:r>
        <w:t>Předseda:</w:t>
      </w:r>
      <w:r>
        <w:tab/>
      </w:r>
      <w:r w:rsidR="007677CD">
        <w:t>Ing. Jiří Vaněk</w:t>
      </w:r>
      <w:r>
        <w:tab/>
        <w:t>HIP</w:t>
      </w:r>
      <w:r>
        <w:tab/>
        <w:t>………………………………………….</w:t>
      </w:r>
    </w:p>
    <w:p w14:paraId="0E511D1F" w14:textId="330E8041" w:rsidR="00872401" w:rsidRDefault="00872401" w:rsidP="00872401">
      <w:pPr>
        <w:tabs>
          <w:tab w:val="left" w:pos="1701"/>
          <w:tab w:val="left" w:pos="4111"/>
          <w:tab w:val="right" w:pos="9072"/>
        </w:tabs>
        <w:spacing w:before="360"/>
      </w:pPr>
      <w:r>
        <w:t>Složení komise:</w:t>
      </w:r>
      <w:r w:rsidRPr="00D05427">
        <w:t xml:space="preserve"> </w:t>
      </w:r>
      <w:r>
        <w:tab/>
      </w:r>
      <w:r w:rsidR="002A7D1E">
        <w:t>Bc. Jan Inwald</w:t>
      </w:r>
      <w:r>
        <w:tab/>
        <w:t>silnoproud</w:t>
      </w:r>
      <w:r>
        <w:tab/>
        <w:t>………………………………………….</w:t>
      </w:r>
    </w:p>
    <w:p w14:paraId="4E5B04B8" w14:textId="1E0E1578" w:rsidR="00C16C94" w:rsidRDefault="00C16C94" w:rsidP="00872401">
      <w:pPr>
        <w:tabs>
          <w:tab w:val="left" w:pos="1701"/>
          <w:tab w:val="left" w:pos="4111"/>
          <w:tab w:val="right" w:pos="9072"/>
        </w:tabs>
        <w:spacing w:before="360"/>
      </w:pPr>
      <w:r>
        <w:tab/>
        <w:t>Ing. Petr Dvořák</w:t>
      </w:r>
      <w:r>
        <w:tab/>
        <w:t>VZT</w:t>
      </w:r>
      <w:r>
        <w:tab/>
        <w:t>………………………………………….</w:t>
      </w:r>
    </w:p>
    <w:p w14:paraId="42AFF508" w14:textId="543E8AAF" w:rsidR="00872401" w:rsidRDefault="00872401" w:rsidP="007677CD">
      <w:pPr>
        <w:tabs>
          <w:tab w:val="left" w:pos="1701"/>
          <w:tab w:val="left" w:pos="4111"/>
          <w:tab w:val="right" w:pos="9072"/>
        </w:tabs>
        <w:spacing w:before="360"/>
      </w:pPr>
      <w:r>
        <w:tab/>
      </w:r>
    </w:p>
    <w:p w14:paraId="7E5B4C0A" w14:textId="0F810E20" w:rsidR="007677CD" w:rsidRDefault="007677CD" w:rsidP="007677CD">
      <w:pPr>
        <w:tabs>
          <w:tab w:val="left" w:pos="1701"/>
          <w:tab w:val="left" w:pos="4111"/>
          <w:tab w:val="right" w:pos="9072"/>
        </w:tabs>
        <w:spacing w:before="360"/>
      </w:pPr>
    </w:p>
    <w:p w14:paraId="6507AA14" w14:textId="7214B3E7" w:rsidR="007677CD" w:rsidRDefault="007677CD" w:rsidP="007677CD">
      <w:pPr>
        <w:tabs>
          <w:tab w:val="left" w:pos="1701"/>
          <w:tab w:val="left" w:pos="4111"/>
          <w:tab w:val="right" w:pos="9072"/>
        </w:tabs>
        <w:spacing w:before="360"/>
      </w:pPr>
    </w:p>
    <w:p w14:paraId="1F46A1AD" w14:textId="77777777" w:rsidR="007677CD" w:rsidRDefault="007677CD" w:rsidP="007677CD">
      <w:pPr>
        <w:tabs>
          <w:tab w:val="left" w:pos="1701"/>
          <w:tab w:val="left" w:pos="4111"/>
          <w:tab w:val="right" w:pos="9072"/>
        </w:tabs>
        <w:spacing w:before="360"/>
      </w:pPr>
    </w:p>
    <w:p w14:paraId="73580DE4" w14:textId="77777777" w:rsidR="00872401" w:rsidRDefault="00872401" w:rsidP="00872401">
      <w:pPr>
        <w:tabs>
          <w:tab w:val="left" w:pos="1701"/>
          <w:tab w:val="left" w:pos="4111"/>
          <w:tab w:val="right" w:pos="9072"/>
        </w:tabs>
      </w:pPr>
    </w:p>
    <w:p w14:paraId="1419E9CE" w14:textId="77777777" w:rsidR="00872401" w:rsidRPr="00D05427" w:rsidRDefault="00872401" w:rsidP="00872401">
      <w:pPr>
        <w:keepNext/>
        <w:rPr>
          <w:b/>
          <w:bCs/>
        </w:rPr>
      </w:pPr>
      <w:r w:rsidRPr="00D05427">
        <w:rPr>
          <w:b/>
          <w:bCs/>
        </w:rPr>
        <w:t>Podklady použité pro vypracování protokolu:</w:t>
      </w:r>
    </w:p>
    <w:p w14:paraId="412B2E9F" w14:textId="77777777" w:rsidR="00872401" w:rsidRDefault="00872401" w:rsidP="00872401">
      <w:r>
        <w:t>stavební půdorysy ve stupni dokumentace pro povolení stavby</w:t>
      </w:r>
    </w:p>
    <w:p w14:paraId="30A858BD" w14:textId="77777777" w:rsidR="00872401" w:rsidRDefault="00872401" w:rsidP="00872401">
      <w:pPr>
        <w:ind w:left="2268" w:hanging="2268"/>
        <w:rPr>
          <w:szCs w:val="20"/>
        </w:rPr>
      </w:pPr>
      <w:r>
        <w:rPr>
          <w:szCs w:val="20"/>
        </w:rPr>
        <w:t xml:space="preserve">ČSN EN 61140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3</w:t>
      </w:r>
      <w:r w:rsidRPr="00141EDF">
        <w:rPr>
          <w:szCs w:val="20"/>
        </w:rPr>
        <w:tab/>
      </w:r>
      <w:r w:rsidRPr="00653F21">
        <w:rPr>
          <w:szCs w:val="20"/>
        </w:rPr>
        <w:t xml:space="preserve">Ochrana před úrazem elektrickým </w:t>
      </w:r>
      <w:proofErr w:type="gramStart"/>
      <w:r w:rsidRPr="00653F21">
        <w:rPr>
          <w:szCs w:val="20"/>
        </w:rPr>
        <w:t>proudem - Společná</w:t>
      </w:r>
      <w:proofErr w:type="gramEnd"/>
      <w:r w:rsidRPr="00653F21">
        <w:rPr>
          <w:szCs w:val="20"/>
        </w:rPr>
        <w:t xml:space="preserve"> hlediska pro instalaci a zařízení</w:t>
      </w:r>
      <w:r>
        <w:rPr>
          <w:szCs w:val="20"/>
        </w:rPr>
        <w:t xml:space="preserve"> (10.2016)</w:t>
      </w:r>
    </w:p>
    <w:p w14:paraId="45610F5F" w14:textId="77777777" w:rsidR="00872401" w:rsidRDefault="00872401" w:rsidP="00872401">
      <w:pPr>
        <w:ind w:left="2268" w:hanging="2268"/>
        <w:rPr>
          <w:szCs w:val="20"/>
        </w:rPr>
      </w:pPr>
      <w:r w:rsidRPr="00141EDF">
        <w:rPr>
          <w:szCs w:val="20"/>
        </w:rPr>
        <w:t xml:space="preserve">ČSN 33 2000-1 </w:t>
      </w:r>
      <w:proofErr w:type="spellStart"/>
      <w:r w:rsidRPr="00141EDF">
        <w:rPr>
          <w:szCs w:val="20"/>
        </w:rPr>
        <w:t>ed</w:t>
      </w:r>
      <w:proofErr w:type="spellEnd"/>
      <w:r w:rsidRPr="00141EDF">
        <w:rPr>
          <w:szCs w:val="20"/>
        </w:rPr>
        <w:t>. 2</w:t>
      </w:r>
      <w:r w:rsidRPr="00141EDF">
        <w:rPr>
          <w:szCs w:val="20"/>
        </w:rPr>
        <w:tab/>
        <w:t xml:space="preserve">Elektrické instalace nízkého </w:t>
      </w:r>
      <w:proofErr w:type="gramStart"/>
      <w:r w:rsidRPr="00141EDF">
        <w:rPr>
          <w:szCs w:val="20"/>
        </w:rPr>
        <w:t>napětí - Část</w:t>
      </w:r>
      <w:proofErr w:type="gramEnd"/>
      <w:r w:rsidRPr="00141EDF">
        <w:rPr>
          <w:szCs w:val="20"/>
        </w:rPr>
        <w:t xml:space="preserve"> 1: Základní hlediska, stanovení základních charakteristik, definice</w:t>
      </w:r>
      <w:r>
        <w:rPr>
          <w:szCs w:val="20"/>
        </w:rPr>
        <w:t xml:space="preserve"> (5.2009)</w:t>
      </w:r>
    </w:p>
    <w:p w14:paraId="379778A4" w14:textId="77777777" w:rsidR="00872401" w:rsidRDefault="00872401" w:rsidP="00872401">
      <w:pPr>
        <w:ind w:left="2268" w:hanging="2268"/>
        <w:rPr>
          <w:szCs w:val="20"/>
        </w:rPr>
      </w:pPr>
      <w:r w:rsidRPr="00141EDF">
        <w:rPr>
          <w:szCs w:val="20"/>
        </w:rPr>
        <w:t xml:space="preserve">ČSN 33 2000-5-51 </w:t>
      </w:r>
      <w:proofErr w:type="spellStart"/>
      <w:r w:rsidRPr="00141EDF">
        <w:rPr>
          <w:szCs w:val="20"/>
        </w:rPr>
        <w:t>ed</w:t>
      </w:r>
      <w:proofErr w:type="spellEnd"/>
      <w:r w:rsidRPr="00141EDF">
        <w:rPr>
          <w:szCs w:val="20"/>
        </w:rPr>
        <w:t>. 3</w:t>
      </w:r>
      <w:r w:rsidRPr="00141EDF">
        <w:rPr>
          <w:szCs w:val="20"/>
        </w:rPr>
        <w:tab/>
        <w:t xml:space="preserve">Elektrické instalace nízkého </w:t>
      </w:r>
      <w:proofErr w:type="gramStart"/>
      <w:r w:rsidRPr="00141EDF">
        <w:rPr>
          <w:szCs w:val="20"/>
        </w:rPr>
        <w:t>napětí - Část</w:t>
      </w:r>
      <w:proofErr w:type="gramEnd"/>
      <w:r w:rsidRPr="00141EDF">
        <w:rPr>
          <w:szCs w:val="20"/>
        </w:rPr>
        <w:t xml:space="preserve"> 5-51: Výběr</w:t>
      </w:r>
      <w:r>
        <w:rPr>
          <w:szCs w:val="20"/>
        </w:rPr>
        <w:t xml:space="preserve"> a </w:t>
      </w:r>
      <w:r w:rsidRPr="00141EDF">
        <w:rPr>
          <w:szCs w:val="20"/>
        </w:rPr>
        <w:t>stavba elektrických zařízení - Všeobecné předpisy</w:t>
      </w:r>
      <w:r>
        <w:rPr>
          <w:szCs w:val="20"/>
        </w:rPr>
        <w:t xml:space="preserve"> (4.2010)</w:t>
      </w:r>
    </w:p>
    <w:p w14:paraId="48FC1035" w14:textId="77777777" w:rsidR="00872401" w:rsidRPr="00852F6B" w:rsidRDefault="00872401" w:rsidP="00872401">
      <w:pPr>
        <w:ind w:left="2268" w:hanging="2268"/>
        <w:rPr>
          <w:szCs w:val="20"/>
        </w:rPr>
      </w:pPr>
      <w:r w:rsidRPr="00852F6B">
        <w:rPr>
          <w:szCs w:val="20"/>
        </w:rPr>
        <w:t>ČSN 33 2000-7-718</w:t>
      </w:r>
      <w:r w:rsidRPr="00852F6B">
        <w:rPr>
          <w:szCs w:val="20"/>
        </w:rPr>
        <w:tab/>
        <w:t xml:space="preserve">Elektrické instalace nízkého </w:t>
      </w:r>
      <w:proofErr w:type="gramStart"/>
      <w:r w:rsidRPr="00852F6B">
        <w:rPr>
          <w:szCs w:val="20"/>
        </w:rPr>
        <w:t>napětí - Část</w:t>
      </w:r>
      <w:proofErr w:type="gramEnd"/>
      <w:r w:rsidRPr="00852F6B">
        <w:rPr>
          <w:szCs w:val="20"/>
        </w:rPr>
        <w:t xml:space="preserve"> 7-718: Zařízení jednoúčelová a ve zvláštních objektech - Prostory občanské výstavby a pracoviště (4.2014)</w:t>
      </w:r>
    </w:p>
    <w:p w14:paraId="090698EC" w14:textId="77777777" w:rsidR="00872401" w:rsidRDefault="00872401" w:rsidP="00872401">
      <w:pPr>
        <w:ind w:left="2268" w:hanging="2268"/>
        <w:rPr>
          <w:szCs w:val="20"/>
        </w:rPr>
      </w:pPr>
      <w:r w:rsidRPr="00141EDF">
        <w:rPr>
          <w:szCs w:val="20"/>
        </w:rPr>
        <w:t xml:space="preserve">ČSN 33 2130 </w:t>
      </w:r>
      <w:proofErr w:type="spellStart"/>
      <w:r w:rsidRPr="00141EDF">
        <w:rPr>
          <w:szCs w:val="20"/>
        </w:rPr>
        <w:t>ed</w:t>
      </w:r>
      <w:proofErr w:type="spellEnd"/>
      <w:r w:rsidRPr="00141EDF">
        <w:rPr>
          <w:szCs w:val="20"/>
        </w:rPr>
        <w:t>. 3</w:t>
      </w:r>
      <w:r w:rsidRPr="00141EDF">
        <w:rPr>
          <w:szCs w:val="20"/>
        </w:rPr>
        <w:tab/>
        <w:t xml:space="preserve">Elektrické instalace nízkého </w:t>
      </w:r>
      <w:proofErr w:type="gramStart"/>
      <w:r w:rsidRPr="00141EDF">
        <w:rPr>
          <w:szCs w:val="20"/>
        </w:rPr>
        <w:t>napětí - Vnitřní</w:t>
      </w:r>
      <w:proofErr w:type="gramEnd"/>
      <w:r w:rsidRPr="00141EDF">
        <w:rPr>
          <w:szCs w:val="20"/>
        </w:rPr>
        <w:t xml:space="preserve"> elektrické rozvody</w:t>
      </w:r>
      <w:r>
        <w:rPr>
          <w:szCs w:val="20"/>
        </w:rPr>
        <w:t xml:space="preserve"> (12.2014)</w:t>
      </w:r>
    </w:p>
    <w:p w14:paraId="5D255D24" w14:textId="77777777" w:rsidR="00872401" w:rsidRDefault="00872401" w:rsidP="00872401">
      <w:pPr>
        <w:ind w:left="2268" w:hanging="2268"/>
        <w:rPr>
          <w:szCs w:val="20"/>
        </w:rPr>
      </w:pPr>
      <w:r w:rsidRPr="00852F6B">
        <w:rPr>
          <w:szCs w:val="20"/>
        </w:rPr>
        <w:t>ČSN 34 1610</w:t>
      </w:r>
      <w:r w:rsidRPr="00852F6B">
        <w:rPr>
          <w:szCs w:val="20"/>
        </w:rPr>
        <w:tab/>
        <w:t>Elektrotechnické předpisy ČSN. Elektrický silnoproudý rozvod v průmyslových provozovnách (9.1963)</w:t>
      </w:r>
    </w:p>
    <w:p w14:paraId="7D730BE3" w14:textId="77777777" w:rsidR="00872401" w:rsidRDefault="00872401" w:rsidP="00872401">
      <w:pPr>
        <w:ind w:left="2268" w:hanging="2268"/>
        <w:rPr>
          <w:szCs w:val="20"/>
        </w:rPr>
      </w:pPr>
      <w:r w:rsidRPr="007F55FE">
        <w:rPr>
          <w:szCs w:val="20"/>
        </w:rPr>
        <w:t xml:space="preserve">ČSN EN 1991-1-4 </w:t>
      </w:r>
      <w:proofErr w:type="spellStart"/>
      <w:r w:rsidRPr="007F55FE">
        <w:rPr>
          <w:szCs w:val="20"/>
        </w:rPr>
        <w:t>ed</w:t>
      </w:r>
      <w:proofErr w:type="spellEnd"/>
      <w:r w:rsidRPr="007F55FE">
        <w:rPr>
          <w:szCs w:val="20"/>
        </w:rPr>
        <w:t>. 2</w:t>
      </w:r>
      <w:r w:rsidRPr="007F55FE">
        <w:rPr>
          <w:szCs w:val="20"/>
        </w:rPr>
        <w:tab/>
        <w:t xml:space="preserve">Eurokód 1: Zatížení </w:t>
      </w:r>
      <w:proofErr w:type="gramStart"/>
      <w:r w:rsidRPr="007F55FE">
        <w:rPr>
          <w:szCs w:val="20"/>
        </w:rPr>
        <w:t>konstrukcí - Část</w:t>
      </w:r>
      <w:proofErr w:type="gramEnd"/>
      <w:r w:rsidRPr="007F55FE">
        <w:rPr>
          <w:szCs w:val="20"/>
        </w:rPr>
        <w:t xml:space="preserve"> 1-4: Obecná zatížení - Zatížení větrem</w:t>
      </w:r>
    </w:p>
    <w:p w14:paraId="419BED30" w14:textId="77777777" w:rsidR="00872401" w:rsidRDefault="00872401" w:rsidP="00872401">
      <w:pPr>
        <w:ind w:left="2268" w:hanging="2268"/>
        <w:rPr>
          <w:szCs w:val="20"/>
        </w:rPr>
      </w:pPr>
      <w:r w:rsidRPr="007F55FE">
        <w:rPr>
          <w:szCs w:val="20"/>
        </w:rPr>
        <w:t>ČSN EN 1991-1-5</w:t>
      </w:r>
      <w:r w:rsidRPr="007F55FE">
        <w:rPr>
          <w:szCs w:val="20"/>
        </w:rPr>
        <w:tab/>
        <w:t xml:space="preserve">Eurokód 1: Zatížení </w:t>
      </w:r>
      <w:proofErr w:type="gramStart"/>
      <w:r w:rsidRPr="007F55FE">
        <w:rPr>
          <w:szCs w:val="20"/>
        </w:rPr>
        <w:t>konstrukcí - Část</w:t>
      </w:r>
      <w:proofErr w:type="gramEnd"/>
      <w:r w:rsidRPr="007F55FE">
        <w:rPr>
          <w:szCs w:val="20"/>
        </w:rPr>
        <w:t xml:space="preserve"> 1-5: Obecná zatížení - Zatížení teplotou</w:t>
      </w:r>
    </w:p>
    <w:p w14:paraId="15E72FAB" w14:textId="77777777" w:rsidR="00872401" w:rsidRDefault="00872401" w:rsidP="00872401">
      <w:pPr>
        <w:ind w:left="2268" w:hanging="2268"/>
        <w:rPr>
          <w:szCs w:val="20"/>
        </w:rPr>
      </w:pPr>
      <w:r w:rsidRPr="007F55FE">
        <w:rPr>
          <w:szCs w:val="20"/>
        </w:rPr>
        <w:t>TNI 33 2000-5-51</w:t>
      </w:r>
      <w:r w:rsidRPr="007F55FE">
        <w:rPr>
          <w:szCs w:val="20"/>
        </w:rPr>
        <w:tab/>
        <w:t xml:space="preserve">Elektrické instalace nízkého </w:t>
      </w:r>
      <w:proofErr w:type="gramStart"/>
      <w:r w:rsidRPr="007F55FE">
        <w:rPr>
          <w:szCs w:val="20"/>
        </w:rPr>
        <w:t>napětí - Výběr</w:t>
      </w:r>
      <w:proofErr w:type="gramEnd"/>
      <w:r w:rsidRPr="007F55FE">
        <w:rPr>
          <w:szCs w:val="20"/>
        </w:rPr>
        <w:t xml:space="preserve"> a stavba elektrických zařízení - Všeobecné předpisy - Vnější vlivy, jejich určování a protokol o určení vnějších vlivů - Komentář k ČSN 33 2000-5-51 </w:t>
      </w:r>
      <w:proofErr w:type="spellStart"/>
      <w:r w:rsidRPr="007F55FE">
        <w:rPr>
          <w:szCs w:val="20"/>
        </w:rPr>
        <w:t>ed</w:t>
      </w:r>
      <w:proofErr w:type="spellEnd"/>
      <w:r w:rsidRPr="007F55FE">
        <w:rPr>
          <w:szCs w:val="20"/>
        </w:rPr>
        <w:t>. 3:2010 (12.2011)</w:t>
      </w:r>
    </w:p>
    <w:p w14:paraId="611C75CE" w14:textId="77777777" w:rsidR="00872401" w:rsidRDefault="00872401" w:rsidP="00872401">
      <w:pPr>
        <w:ind w:left="2268" w:hanging="2268"/>
        <w:rPr>
          <w:szCs w:val="20"/>
        </w:rPr>
      </w:pPr>
      <w:r>
        <w:rPr>
          <w:szCs w:val="20"/>
        </w:rPr>
        <w:t>Mapa ročního úhrnu globálního slunečního záření v ČR; ISOFEN ENERGY s.r.o.</w:t>
      </w:r>
    </w:p>
    <w:p w14:paraId="1BE05301" w14:textId="77777777" w:rsidR="00872401" w:rsidRDefault="00872401" w:rsidP="00872401">
      <w:pPr>
        <w:rPr>
          <w:szCs w:val="20"/>
        </w:rPr>
      </w:pPr>
    </w:p>
    <w:p w14:paraId="07DD07D0" w14:textId="77777777" w:rsidR="00872401" w:rsidRPr="007F55FE" w:rsidRDefault="00872401" w:rsidP="00872401">
      <w:pPr>
        <w:keepNext/>
        <w:rPr>
          <w:b/>
          <w:bCs/>
        </w:rPr>
      </w:pPr>
      <w:r w:rsidRPr="007F55FE">
        <w:rPr>
          <w:b/>
          <w:bCs/>
        </w:rPr>
        <w:t>Popis stavebního záměru</w:t>
      </w:r>
      <w:r>
        <w:rPr>
          <w:b/>
          <w:bCs/>
        </w:rPr>
        <w:t>:</w:t>
      </w:r>
    </w:p>
    <w:p w14:paraId="45815DC0" w14:textId="29925871" w:rsidR="00872401" w:rsidRDefault="00872401" w:rsidP="00872401">
      <w:pPr>
        <w:rPr>
          <w:szCs w:val="20"/>
        </w:rPr>
      </w:pPr>
      <w:r w:rsidRPr="00992C4F">
        <w:rPr>
          <w:szCs w:val="20"/>
        </w:rPr>
        <w:t xml:space="preserve">Předmětem řešení projektu je </w:t>
      </w:r>
      <w:r w:rsidR="00992C4F" w:rsidRPr="00992C4F">
        <w:rPr>
          <w:szCs w:val="20"/>
        </w:rPr>
        <w:t>jednopodlažní objekt</w:t>
      </w:r>
      <w:r w:rsidR="00992C4F">
        <w:rPr>
          <w:szCs w:val="20"/>
        </w:rPr>
        <w:t xml:space="preserve"> občanské vybavenosti, který bude využíván při pořádání sportovních závodů a pro tréninkové a vzdělávací účely. Půdorysné rozměry</w:t>
      </w:r>
      <w:r w:rsidR="00241861">
        <w:rPr>
          <w:szCs w:val="20"/>
        </w:rPr>
        <w:t xml:space="preserve"> 14,9 x 7,</w:t>
      </w:r>
      <w:proofErr w:type="gramStart"/>
      <w:r w:rsidR="00241861">
        <w:rPr>
          <w:szCs w:val="20"/>
        </w:rPr>
        <w:t>9m</w:t>
      </w:r>
      <w:proofErr w:type="gramEnd"/>
      <w:r w:rsidR="00241861">
        <w:rPr>
          <w:szCs w:val="20"/>
        </w:rPr>
        <w:t xml:space="preserve"> kde jsou umístěny šatny a hygienické zázemí a 13,9 x 7,9m kde je sportovní klubovna s příslušenstvím. Obvodové zdivo z keramických tvárnic tl.</w:t>
      </w:r>
      <w:proofErr w:type="gramStart"/>
      <w:r w:rsidR="00241861">
        <w:rPr>
          <w:szCs w:val="20"/>
        </w:rPr>
        <w:t>440mm</w:t>
      </w:r>
      <w:proofErr w:type="gramEnd"/>
      <w:r w:rsidR="00241861">
        <w:rPr>
          <w:szCs w:val="20"/>
        </w:rPr>
        <w:t>. Soklová část z cihel tl.</w:t>
      </w:r>
      <w:proofErr w:type="gramStart"/>
      <w:r w:rsidR="00241861">
        <w:rPr>
          <w:szCs w:val="20"/>
        </w:rPr>
        <w:t>380mm</w:t>
      </w:r>
      <w:proofErr w:type="gramEnd"/>
      <w:r w:rsidR="00241861">
        <w:rPr>
          <w:szCs w:val="20"/>
        </w:rPr>
        <w:t xml:space="preserve"> a zateplením tl.60mm. Stropní konstrukci tvoří zavěšený podhled na spodní pásnici střešního vazníku. Zateplení podhledu čedičová vata tl.</w:t>
      </w:r>
      <w:proofErr w:type="gramStart"/>
      <w:r w:rsidR="00241861">
        <w:rPr>
          <w:szCs w:val="20"/>
        </w:rPr>
        <w:t>60mm</w:t>
      </w:r>
      <w:proofErr w:type="gramEnd"/>
      <w:r w:rsidR="00241861">
        <w:rPr>
          <w:szCs w:val="20"/>
        </w:rPr>
        <w:t xml:space="preserve"> mezi dřevěný rošt, minerální vata mezi vazníky tl.160mm a minerální vata tl.140mm nad pásnici. Podlaha přízemí má tepelnou izolaci</w:t>
      </w:r>
      <w:r w:rsidR="00E07336">
        <w:rPr>
          <w:szCs w:val="20"/>
        </w:rPr>
        <w:t xml:space="preserve"> podlahový polystyren tl.</w:t>
      </w:r>
      <w:proofErr w:type="gramStart"/>
      <w:r w:rsidR="00E07336">
        <w:rPr>
          <w:szCs w:val="20"/>
        </w:rPr>
        <w:t>130mm</w:t>
      </w:r>
      <w:proofErr w:type="gramEnd"/>
      <w:r w:rsidR="00E07336">
        <w:rPr>
          <w:szCs w:val="20"/>
        </w:rPr>
        <w:t>. Okna a dveře izolační zasklení, max. součinitel prostupu tepla U=0,88W/m2K.</w:t>
      </w:r>
    </w:p>
    <w:p w14:paraId="0EF66884" w14:textId="77777777" w:rsidR="00872401" w:rsidRDefault="00872401" w:rsidP="00872401">
      <w:pPr>
        <w:rPr>
          <w:szCs w:val="20"/>
        </w:rPr>
      </w:pPr>
    </w:p>
    <w:p w14:paraId="1E145AA9" w14:textId="77777777" w:rsidR="00872401" w:rsidRPr="007F55FE" w:rsidRDefault="00872401" w:rsidP="00872401">
      <w:pPr>
        <w:keepNext/>
        <w:rPr>
          <w:b/>
          <w:bCs/>
        </w:rPr>
      </w:pPr>
      <w:r w:rsidRPr="007F55FE">
        <w:rPr>
          <w:b/>
          <w:bCs/>
        </w:rPr>
        <w:t>Přílohy:</w:t>
      </w:r>
    </w:p>
    <w:p w14:paraId="0DE6BC8C" w14:textId="77777777" w:rsidR="00872401" w:rsidRDefault="00872401" w:rsidP="00872401">
      <w:pPr>
        <w:rPr>
          <w:szCs w:val="20"/>
        </w:rPr>
      </w:pPr>
      <w:r>
        <w:rPr>
          <w:szCs w:val="20"/>
        </w:rPr>
        <w:t xml:space="preserve">Charakteristiky vnějších vlivů v dotčených prostorách dle ČSN 33 2000-5-51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3, Příloha ZA.</w:t>
      </w:r>
    </w:p>
    <w:p w14:paraId="67DBEE58" w14:textId="77777777" w:rsidR="00872401" w:rsidRDefault="00872401" w:rsidP="00872401">
      <w:pPr>
        <w:rPr>
          <w:szCs w:val="20"/>
        </w:rPr>
      </w:pPr>
    </w:p>
    <w:p w14:paraId="7B539B9A" w14:textId="77777777" w:rsidR="00872401" w:rsidRPr="007F55FE" w:rsidRDefault="00872401" w:rsidP="00872401">
      <w:pPr>
        <w:keepNext/>
        <w:rPr>
          <w:b/>
          <w:bCs/>
        </w:rPr>
      </w:pPr>
      <w:r w:rsidRPr="007F55FE">
        <w:rPr>
          <w:b/>
          <w:bCs/>
        </w:rPr>
        <w:t>Zdůvodnění:</w:t>
      </w:r>
    </w:p>
    <w:p w14:paraId="518569E4" w14:textId="77777777" w:rsidR="00872401" w:rsidRDefault="00872401" w:rsidP="00872401">
      <w:pPr>
        <w:rPr>
          <w:szCs w:val="20"/>
        </w:rPr>
      </w:pPr>
      <w:r>
        <w:rPr>
          <w:szCs w:val="20"/>
        </w:rPr>
        <w:t xml:space="preserve">Členění prostor na základě určených vnějších vlivů bylo provedeno dle ČSN EN 61140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3, čl. 4.4.</w:t>
      </w:r>
    </w:p>
    <w:p w14:paraId="063C2EEA" w14:textId="5DE06F50" w:rsidR="00872401" w:rsidRDefault="00872401" w:rsidP="00872401">
      <w:pPr>
        <w:rPr>
          <w:szCs w:val="20"/>
        </w:rPr>
      </w:pPr>
      <w:r>
        <w:rPr>
          <w:szCs w:val="20"/>
        </w:rPr>
        <w:t xml:space="preserve">Příslušné stanovení vnějších vlivů bylo </w:t>
      </w:r>
      <w:r w:rsidRPr="00E07336">
        <w:rPr>
          <w:szCs w:val="20"/>
        </w:rPr>
        <w:t xml:space="preserve">provedeno v rámci dokumentace </w:t>
      </w:r>
      <w:r w:rsidR="00E07336">
        <w:rPr>
          <w:szCs w:val="20"/>
        </w:rPr>
        <w:t>provedení stavby</w:t>
      </w:r>
      <w:r>
        <w:rPr>
          <w:szCs w:val="20"/>
        </w:rPr>
        <w:t>. Určené vnější vlivy musí být nejpozději v rámci realizace díla ověřeny zhotovitelem a revizním technikem, a tento dokument jimi musí být před uvedením vyhrazeného technického zařízení do provozu buďto potvrzen, anebo upraven.</w:t>
      </w:r>
    </w:p>
    <w:p w14:paraId="4DE08DBD" w14:textId="77777777" w:rsidR="00872401" w:rsidRDefault="00872401" w:rsidP="00872401">
      <w:pPr>
        <w:rPr>
          <w:szCs w:val="20"/>
        </w:rPr>
      </w:pPr>
      <w:r>
        <w:rPr>
          <w:szCs w:val="20"/>
        </w:rPr>
        <w:t xml:space="preserve">Dle ČSN EN 61140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 xml:space="preserve">. 3, čl. 5.2.3.1 musí v přístupu k nebezpečným živým částem obecně bránit ochranné přepážky nebo kryty zajištěním stupně ochrany před úrazem elektrickým proudem </w:t>
      </w:r>
      <w:r w:rsidRPr="007F55FE">
        <w:rPr>
          <w:b/>
          <w:bCs/>
          <w:szCs w:val="20"/>
        </w:rPr>
        <w:t>alespoň IPXXB nebo IP2X</w:t>
      </w:r>
      <w:r>
        <w:rPr>
          <w:szCs w:val="20"/>
        </w:rPr>
        <w:t>.</w:t>
      </w:r>
    </w:p>
    <w:p w14:paraId="3AAA777C" w14:textId="77777777" w:rsidR="00872401" w:rsidRDefault="00872401" w:rsidP="00872401">
      <w:pPr>
        <w:rPr>
          <w:szCs w:val="20"/>
        </w:rPr>
      </w:pPr>
      <w:r>
        <w:rPr>
          <w:szCs w:val="20"/>
        </w:rPr>
        <w:t xml:space="preserve">Pro obsluhu, údržbu a práci na elektrických zařízeních platí bezpečnostní požadavky ČSN EN 50110-1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3.</w:t>
      </w:r>
      <w:r>
        <w:rPr>
          <w:szCs w:val="20"/>
        </w:rPr>
        <w:br/>
        <w:t xml:space="preserve">V případě laické obsluhy elektrických zařízení musí předávající (zhotovitel, vlastník, provozovatel) vždy provést její seznámení se správným a bezpečným užíváním elektrické instalace dle požadavků ČSN 33 1310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2.</w:t>
      </w:r>
    </w:p>
    <w:p w14:paraId="38B69222" w14:textId="77777777" w:rsidR="00872401" w:rsidRDefault="00872401" w:rsidP="00872401">
      <w:pPr>
        <w:rPr>
          <w:szCs w:val="20"/>
        </w:rPr>
      </w:pPr>
    </w:p>
    <w:p w14:paraId="4F110422" w14:textId="77777777" w:rsidR="00872401" w:rsidRDefault="00872401" w:rsidP="00872401">
      <w:pPr>
        <w:rPr>
          <w:szCs w:val="20"/>
        </w:rPr>
      </w:pPr>
    </w:p>
    <w:p w14:paraId="5AD867C3" w14:textId="2B1310E4" w:rsidR="00872401" w:rsidRDefault="00E07336" w:rsidP="00872401">
      <w:pPr>
        <w:tabs>
          <w:tab w:val="right" w:pos="9072"/>
        </w:tabs>
        <w:rPr>
          <w:szCs w:val="20"/>
        </w:rPr>
      </w:pPr>
      <w:r>
        <w:rPr>
          <w:szCs w:val="20"/>
        </w:rPr>
        <w:t>Ve Žďáře nad Sázavou dne 2.11.2021</w:t>
      </w:r>
    </w:p>
    <w:p w14:paraId="3B1194C2" w14:textId="77777777" w:rsidR="00872401" w:rsidRDefault="00872401" w:rsidP="00872401">
      <w:pPr>
        <w:rPr>
          <w:szCs w:val="20"/>
        </w:rPr>
      </w:pPr>
      <w:r>
        <w:rPr>
          <w:szCs w:val="20"/>
        </w:rPr>
        <w:br w:type="page"/>
      </w:r>
    </w:p>
    <w:p w14:paraId="1535C995" w14:textId="77777777" w:rsidR="00872401" w:rsidRPr="00C219DF" w:rsidRDefault="00872401" w:rsidP="00872401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bookmarkStart w:id="0" w:name="_Ref508031097"/>
      <w:r w:rsidRPr="00C219DF">
        <w:rPr>
          <w:b/>
          <w:szCs w:val="20"/>
        </w:rPr>
        <w:lastRenderedPageBreak/>
        <w:t>– Společný list protokolu o určení vnějších vlivů pro místnosti se shodnými vnějšími vlivy</w:t>
      </w:r>
      <w:bookmarkEnd w:id="0"/>
    </w:p>
    <w:p w14:paraId="4B830ACE" w14:textId="7F68405E" w:rsidR="00872401" w:rsidRDefault="00872401" w:rsidP="00872401">
      <w:pPr>
        <w:rPr>
          <w:szCs w:val="20"/>
        </w:rPr>
      </w:pPr>
      <w:proofErr w:type="spellStart"/>
      <w:r w:rsidRPr="002100FD">
        <w:rPr>
          <w:b/>
          <w:bCs/>
          <w:szCs w:val="20"/>
        </w:rPr>
        <w:t>m.č</w:t>
      </w:r>
      <w:proofErr w:type="spellEnd"/>
      <w:r w:rsidRPr="002100FD">
        <w:rPr>
          <w:b/>
          <w:bCs/>
          <w:szCs w:val="20"/>
        </w:rPr>
        <w:t>.:</w:t>
      </w:r>
      <w:r>
        <w:rPr>
          <w:szCs w:val="20"/>
        </w:rPr>
        <w:t xml:space="preserve"> </w:t>
      </w:r>
      <w:r w:rsidR="00A67AD6">
        <w:rPr>
          <w:szCs w:val="20"/>
        </w:rPr>
        <w:t>101-118</w:t>
      </w:r>
      <w:r>
        <w:rPr>
          <w:szCs w:val="20"/>
        </w:rPr>
        <w:br/>
      </w:r>
      <w:r w:rsidRPr="002100FD">
        <w:rPr>
          <w:b/>
          <w:bCs/>
          <w:szCs w:val="20"/>
        </w:rPr>
        <w:t>účel prostoru:</w:t>
      </w:r>
      <w:r>
        <w:rPr>
          <w:szCs w:val="20"/>
        </w:rPr>
        <w:t xml:space="preserve"> </w:t>
      </w:r>
      <w:r w:rsidR="009B185E">
        <w:rPr>
          <w:szCs w:val="20"/>
        </w:rPr>
        <w:t>sportovní zázemí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872401" w:rsidRPr="00C219DF" w14:paraId="4A32A555" w14:textId="77777777" w:rsidTr="002A469D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7D426B15" w14:textId="77777777" w:rsidR="00872401" w:rsidRPr="00C219DF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812F432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A2F0DD7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Třída vnějšího vlivu</w:t>
            </w:r>
          </w:p>
        </w:tc>
      </w:tr>
      <w:tr w:rsidR="00872401" w:rsidRPr="00C219DF" w14:paraId="2B4D092F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13FD7883" w14:textId="77777777" w:rsidR="00872401" w:rsidRPr="00075175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075175">
              <w:rPr>
                <w:b/>
                <w:szCs w:val="20"/>
              </w:rPr>
              <w:t>AA5</w:t>
            </w:r>
          </w:p>
        </w:tc>
        <w:tc>
          <w:tcPr>
            <w:tcW w:w="3827" w:type="dxa"/>
          </w:tcPr>
          <w:p w14:paraId="7E04E9C4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 w:rsidRPr="00E710EC">
              <w:rPr>
                <w:szCs w:val="20"/>
              </w:rPr>
              <w:t>Teplota okolí</w:t>
            </w:r>
          </w:p>
        </w:tc>
        <w:tc>
          <w:tcPr>
            <w:tcW w:w="4820" w:type="dxa"/>
          </w:tcPr>
          <w:p w14:paraId="1D88FC8A" w14:textId="55A0EA39" w:rsidR="00872401" w:rsidRPr="00075175" w:rsidRDefault="00A6490D" w:rsidP="002A469D">
            <w:pPr>
              <w:contextualSpacing/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Navrhovaná teplota </w:t>
            </w:r>
            <w:r w:rsidR="005D218B">
              <w:rPr>
                <w:szCs w:val="20"/>
              </w:rPr>
              <w:t xml:space="preserve">pro </w:t>
            </w:r>
            <w:r>
              <w:rPr>
                <w:szCs w:val="20"/>
              </w:rPr>
              <w:t>vytápění</w:t>
            </w:r>
            <w:r w:rsidR="00872401" w:rsidRPr="00A67AD6">
              <w:rPr>
                <w:szCs w:val="20"/>
              </w:rPr>
              <w:t xml:space="preserve"> +20 °C</w:t>
            </w:r>
          </w:p>
        </w:tc>
      </w:tr>
      <w:tr w:rsidR="00872401" w:rsidRPr="00C219DF" w14:paraId="1671A6DA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45661BC0" w14:textId="77777777" w:rsidR="00872401" w:rsidRPr="00075175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075175">
              <w:rPr>
                <w:b/>
                <w:szCs w:val="20"/>
              </w:rPr>
              <w:t>AB5</w:t>
            </w:r>
          </w:p>
        </w:tc>
        <w:tc>
          <w:tcPr>
            <w:tcW w:w="3827" w:type="dxa"/>
          </w:tcPr>
          <w:p w14:paraId="7943801E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 w:rsidRPr="00E710EC">
              <w:rPr>
                <w:szCs w:val="20"/>
              </w:rPr>
              <w:t>Atmosférické vlivy okolí</w:t>
            </w:r>
          </w:p>
        </w:tc>
        <w:tc>
          <w:tcPr>
            <w:tcW w:w="4820" w:type="dxa"/>
          </w:tcPr>
          <w:p w14:paraId="2D970A44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 w:rsidRPr="00E710EC">
              <w:rPr>
                <w:szCs w:val="20"/>
              </w:rPr>
              <w:t>chráněné před atmosférickými vlivy s regulací teploty</w:t>
            </w:r>
          </w:p>
        </w:tc>
      </w:tr>
      <w:tr w:rsidR="00872401" w:rsidRPr="00C219DF" w14:paraId="16AE2923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211AAC00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AC1</w:t>
            </w:r>
          </w:p>
        </w:tc>
        <w:tc>
          <w:tcPr>
            <w:tcW w:w="3827" w:type="dxa"/>
          </w:tcPr>
          <w:p w14:paraId="17453553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Nadmořská výška</w:t>
            </w:r>
          </w:p>
        </w:tc>
        <w:tc>
          <w:tcPr>
            <w:tcW w:w="4820" w:type="dxa"/>
          </w:tcPr>
          <w:p w14:paraId="551B62E7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sym w:font="Symbol" w:char="F0A3"/>
            </w:r>
            <w:r w:rsidRPr="00C219DF">
              <w:rPr>
                <w:szCs w:val="20"/>
              </w:rPr>
              <w:t xml:space="preserve"> 2000 m; normální</w:t>
            </w:r>
          </w:p>
        </w:tc>
      </w:tr>
      <w:tr w:rsidR="00872401" w:rsidRPr="00C219DF" w14:paraId="0ADC5736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326CE8CD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AD1</w:t>
            </w:r>
          </w:p>
        </w:tc>
        <w:tc>
          <w:tcPr>
            <w:tcW w:w="3827" w:type="dxa"/>
          </w:tcPr>
          <w:p w14:paraId="172BC615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Výskyt vody z jiných zdrojů než z deště</w:t>
            </w:r>
          </w:p>
        </w:tc>
        <w:tc>
          <w:tcPr>
            <w:tcW w:w="4820" w:type="dxa"/>
          </w:tcPr>
          <w:p w14:paraId="055AE3A8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zanedbatelný</w:t>
            </w:r>
          </w:p>
        </w:tc>
      </w:tr>
      <w:tr w:rsidR="00872401" w:rsidRPr="00C219DF" w14:paraId="6C29B05A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420A686A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AE1</w:t>
            </w:r>
          </w:p>
        </w:tc>
        <w:tc>
          <w:tcPr>
            <w:tcW w:w="3827" w:type="dxa"/>
          </w:tcPr>
          <w:p w14:paraId="24549462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cizích pevných těles</w:t>
            </w:r>
          </w:p>
        </w:tc>
        <w:tc>
          <w:tcPr>
            <w:tcW w:w="4820" w:type="dxa"/>
          </w:tcPr>
          <w:p w14:paraId="5BCD405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zanedbatelný</w:t>
            </w:r>
          </w:p>
        </w:tc>
      </w:tr>
      <w:tr w:rsidR="00872401" w:rsidRPr="00C219DF" w14:paraId="51BEB9C5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165F64BC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AF1</w:t>
            </w:r>
          </w:p>
        </w:tc>
        <w:tc>
          <w:tcPr>
            <w:tcW w:w="3827" w:type="dxa"/>
          </w:tcPr>
          <w:p w14:paraId="64A83379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korozivních nebo znečišťujících látek</w:t>
            </w:r>
          </w:p>
        </w:tc>
        <w:tc>
          <w:tcPr>
            <w:tcW w:w="4820" w:type="dxa"/>
          </w:tcPr>
          <w:p w14:paraId="23CB851F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zanedbatelný</w:t>
            </w:r>
          </w:p>
        </w:tc>
      </w:tr>
      <w:tr w:rsidR="00872401" w:rsidRPr="00C219DF" w14:paraId="6BDBF5F6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1CE9ADA9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AG1</w:t>
            </w:r>
          </w:p>
        </w:tc>
        <w:tc>
          <w:tcPr>
            <w:tcW w:w="3827" w:type="dxa"/>
          </w:tcPr>
          <w:p w14:paraId="4BB7DFDF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Ráz</w:t>
            </w:r>
          </w:p>
        </w:tc>
        <w:tc>
          <w:tcPr>
            <w:tcW w:w="4820" w:type="dxa"/>
          </w:tcPr>
          <w:p w14:paraId="68143FA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798AF4E4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7077D2F4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AH1</w:t>
            </w:r>
          </w:p>
        </w:tc>
        <w:tc>
          <w:tcPr>
            <w:tcW w:w="3827" w:type="dxa"/>
          </w:tcPr>
          <w:p w14:paraId="3FE4CCC2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Vibrace</w:t>
            </w:r>
          </w:p>
        </w:tc>
        <w:tc>
          <w:tcPr>
            <w:tcW w:w="4820" w:type="dxa"/>
          </w:tcPr>
          <w:p w14:paraId="478FFA87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00A3771A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62E1C596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AK1</w:t>
            </w:r>
          </w:p>
        </w:tc>
        <w:tc>
          <w:tcPr>
            <w:tcW w:w="3827" w:type="dxa"/>
          </w:tcPr>
          <w:p w14:paraId="0A6607F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rostlinstva nebo plísní</w:t>
            </w:r>
          </w:p>
        </w:tc>
        <w:tc>
          <w:tcPr>
            <w:tcW w:w="4820" w:type="dxa"/>
          </w:tcPr>
          <w:p w14:paraId="074BC3C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bez nebezpečí</w:t>
            </w:r>
          </w:p>
        </w:tc>
      </w:tr>
      <w:tr w:rsidR="00872401" w:rsidRPr="00C219DF" w14:paraId="7C708103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1A1CDBF1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AL1</w:t>
            </w:r>
          </w:p>
        </w:tc>
        <w:tc>
          <w:tcPr>
            <w:tcW w:w="3827" w:type="dxa"/>
          </w:tcPr>
          <w:p w14:paraId="602E6891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živočichů</w:t>
            </w:r>
          </w:p>
        </w:tc>
        <w:tc>
          <w:tcPr>
            <w:tcW w:w="4820" w:type="dxa"/>
          </w:tcPr>
          <w:p w14:paraId="6F6E7AF8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bez nebezpečí</w:t>
            </w:r>
          </w:p>
        </w:tc>
      </w:tr>
      <w:tr w:rsidR="00872401" w:rsidRPr="00C219DF" w14:paraId="6988F8E7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0312594A" w14:textId="77777777" w:rsidR="00872401" w:rsidRPr="00075175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075175">
              <w:rPr>
                <w:b/>
                <w:szCs w:val="20"/>
              </w:rPr>
              <w:t>AM-1-2</w:t>
            </w:r>
          </w:p>
        </w:tc>
        <w:tc>
          <w:tcPr>
            <w:tcW w:w="3827" w:type="dxa"/>
            <w:vAlign w:val="center"/>
          </w:tcPr>
          <w:p w14:paraId="71F80F79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 xml:space="preserve">Harmonické, </w:t>
            </w:r>
            <w:proofErr w:type="spellStart"/>
            <w:r>
              <w:rPr>
                <w:szCs w:val="20"/>
              </w:rPr>
              <w:t>meziharmonické</w:t>
            </w:r>
            <w:proofErr w:type="spellEnd"/>
          </w:p>
        </w:tc>
        <w:tc>
          <w:tcPr>
            <w:tcW w:w="4820" w:type="dxa"/>
          </w:tcPr>
          <w:p w14:paraId="54767983" w14:textId="77777777" w:rsidR="00872401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předpokládá se normální úroveň harmonických dle tabulky 1 ČSN EN 61000-2-2; elektronické spotřebiče</w:t>
            </w:r>
          </w:p>
          <w:p w14:paraId="60207E5D" w14:textId="77777777" w:rsidR="00872401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zdůvodnění viz ČSN 33 2000-4-444, čl. 444.4.1</w:t>
            </w:r>
          </w:p>
          <w:p w14:paraId="599CA59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 xml:space="preserve">zdůvodnění viz ČSN 33 2000-5-52 </w:t>
            </w:r>
            <w:proofErr w:type="spellStart"/>
            <w:r>
              <w:rPr>
                <w:szCs w:val="20"/>
              </w:rPr>
              <w:t>ed</w:t>
            </w:r>
            <w:proofErr w:type="spellEnd"/>
            <w:r>
              <w:rPr>
                <w:szCs w:val="20"/>
              </w:rPr>
              <w:t>. 2, čl. 524.2.1</w:t>
            </w:r>
          </w:p>
        </w:tc>
      </w:tr>
      <w:tr w:rsidR="00872401" w:rsidRPr="00C219DF" w14:paraId="6890FFB7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46C1A377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AN1</w:t>
            </w:r>
          </w:p>
        </w:tc>
        <w:tc>
          <w:tcPr>
            <w:tcW w:w="3827" w:type="dxa"/>
          </w:tcPr>
          <w:p w14:paraId="0DA8D52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Sluneční záření</w:t>
            </w:r>
          </w:p>
        </w:tc>
        <w:tc>
          <w:tcPr>
            <w:tcW w:w="4820" w:type="dxa"/>
          </w:tcPr>
          <w:p w14:paraId="21056F71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73487D18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1DAEFC21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AP1</w:t>
            </w:r>
          </w:p>
        </w:tc>
        <w:tc>
          <w:tcPr>
            <w:tcW w:w="3827" w:type="dxa"/>
          </w:tcPr>
          <w:p w14:paraId="5D0B4000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Seismické účinky</w:t>
            </w:r>
          </w:p>
        </w:tc>
        <w:tc>
          <w:tcPr>
            <w:tcW w:w="4820" w:type="dxa"/>
          </w:tcPr>
          <w:p w14:paraId="13A31AD1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0334FE9E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3EF3F243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AQ1</w:t>
            </w:r>
          </w:p>
        </w:tc>
        <w:tc>
          <w:tcPr>
            <w:tcW w:w="3827" w:type="dxa"/>
          </w:tcPr>
          <w:p w14:paraId="2FA1C796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Bouřková činnost</w:t>
            </w:r>
          </w:p>
        </w:tc>
        <w:tc>
          <w:tcPr>
            <w:tcW w:w="4820" w:type="dxa"/>
          </w:tcPr>
          <w:p w14:paraId="6C7297C3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47A845A6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2318A0BB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AR1</w:t>
            </w:r>
          </w:p>
        </w:tc>
        <w:tc>
          <w:tcPr>
            <w:tcW w:w="3827" w:type="dxa"/>
          </w:tcPr>
          <w:p w14:paraId="02DAFBA8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Pohyb vzduchu</w:t>
            </w:r>
          </w:p>
        </w:tc>
        <w:tc>
          <w:tcPr>
            <w:tcW w:w="4820" w:type="dxa"/>
          </w:tcPr>
          <w:p w14:paraId="25F51EB8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6296049C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1D84C2C1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AS1</w:t>
            </w:r>
          </w:p>
        </w:tc>
        <w:tc>
          <w:tcPr>
            <w:tcW w:w="3827" w:type="dxa"/>
          </w:tcPr>
          <w:p w14:paraId="09302A9A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Vítr</w:t>
            </w:r>
          </w:p>
        </w:tc>
        <w:tc>
          <w:tcPr>
            <w:tcW w:w="4820" w:type="dxa"/>
          </w:tcPr>
          <w:p w14:paraId="17DF0A2C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nevyskytuje se</w:t>
            </w:r>
          </w:p>
        </w:tc>
      </w:tr>
      <w:tr w:rsidR="00872401" w:rsidRPr="00C219DF" w14:paraId="69299B0E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shd w:val="clear" w:color="auto" w:fill="F2F2F2" w:themeFill="background1" w:themeFillShade="F2"/>
          </w:tcPr>
          <w:p w14:paraId="303BD194" w14:textId="77777777" w:rsidR="00872401" w:rsidRPr="00C219DF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01E3ECBE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1FFDDD90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</w:p>
        </w:tc>
      </w:tr>
      <w:tr w:rsidR="00872401" w:rsidRPr="00C219DF" w14:paraId="235F1949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7C2E4C56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BA1</w:t>
            </w:r>
          </w:p>
        </w:tc>
        <w:tc>
          <w:tcPr>
            <w:tcW w:w="3827" w:type="dxa"/>
          </w:tcPr>
          <w:p w14:paraId="173380CC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Schopnost osob</w:t>
            </w:r>
          </w:p>
        </w:tc>
        <w:tc>
          <w:tcPr>
            <w:tcW w:w="4820" w:type="dxa"/>
          </w:tcPr>
          <w:p w14:paraId="2DE0C7D6" w14:textId="77777777" w:rsidR="00872401" w:rsidRPr="00C219DF" w:rsidRDefault="00872401" w:rsidP="002A469D">
            <w:pPr>
              <w:contextualSpacing/>
              <w:rPr>
                <w:szCs w:val="20"/>
                <w:highlight w:val="yellow"/>
              </w:rPr>
            </w:pPr>
            <w:r w:rsidRPr="00C219DF">
              <w:rPr>
                <w:szCs w:val="20"/>
              </w:rPr>
              <w:t>nepoučené osoby (laici)</w:t>
            </w:r>
          </w:p>
        </w:tc>
      </w:tr>
      <w:tr w:rsidR="00872401" w:rsidRPr="00C219DF" w14:paraId="457CE011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1259D65F" w14:textId="77777777" w:rsidR="00872401" w:rsidRPr="00075175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075175">
              <w:rPr>
                <w:b/>
                <w:szCs w:val="20"/>
              </w:rPr>
              <w:t>BC2</w:t>
            </w:r>
          </w:p>
        </w:tc>
        <w:tc>
          <w:tcPr>
            <w:tcW w:w="3827" w:type="dxa"/>
            <w:vAlign w:val="center"/>
          </w:tcPr>
          <w:p w14:paraId="1B81AD9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Dotyk osob</w:t>
            </w:r>
            <w:r>
              <w:rPr>
                <w:szCs w:val="20"/>
              </w:rPr>
              <w:t xml:space="preserve"> s </w:t>
            </w:r>
            <w:r w:rsidRPr="00C219DF">
              <w:rPr>
                <w:szCs w:val="20"/>
              </w:rPr>
              <w:t>potenciálem země</w:t>
            </w:r>
          </w:p>
        </w:tc>
        <w:tc>
          <w:tcPr>
            <w:tcW w:w="4820" w:type="dxa"/>
          </w:tcPr>
          <w:p w14:paraId="58EE353A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osoby se obvykle nedotýkají cizích vodivých částí a obvykle nestojí na vodivém podkladu</w:t>
            </w:r>
          </w:p>
        </w:tc>
      </w:tr>
      <w:tr w:rsidR="00872401" w:rsidRPr="00C219DF" w14:paraId="2C76258C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62ACB887" w14:textId="77777777" w:rsidR="00872401" w:rsidRPr="00075175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075175">
              <w:rPr>
                <w:b/>
                <w:szCs w:val="20"/>
              </w:rPr>
              <w:t>BD3</w:t>
            </w:r>
          </w:p>
        </w:tc>
        <w:tc>
          <w:tcPr>
            <w:tcW w:w="3827" w:type="dxa"/>
            <w:vAlign w:val="center"/>
          </w:tcPr>
          <w:p w14:paraId="172FF068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Podmínky úniku v případě nebezpečí</w:t>
            </w:r>
          </w:p>
        </w:tc>
        <w:tc>
          <w:tcPr>
            <w:tcW w:w="4820" w:type="dxa"/>
          </w:tcPr>
          <w:p w14:paraId="252685B2" w14:textId="77777777" w:rsidR="00872401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snadné podmínky pro únik;</w:t>
            </w:r>
          </w:p>
          <w:p w14:paraId="51E3D52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pracoviště dle ČSN 33 2000-7-718, čl. 718.422.2.101</w:t>
            </w:r>
          </w:p>
        </w:tc>
      </w:tr>
      <w:tr w:rsidR="00872401" w:rsidRPr="00C219DF" w14:paraId="75D91954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4B8B2B8C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BE1</w:t>
            </w:r>
          </w:p>
        </w:tc>
        <w:tc>
          <w:tcPr>
            <w:tcW w:w="3827" w:type="dxa"/>
          </w:tcPr>
          <w:p w14:paraId="351282D6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Zpracovávané nebo skladované látky</w:t>
            </w:r>
          </w:p>
        </w:tc>
        <w:tc>
          <w:tcPr>
            <w:tcW w:w="4820" w:type="dxa"/>
          </w:tcPr>
          <w:p w14:paraId="2232119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bez významného nebezpečí</w:t>
            </w:r>
          </w:p>
        </w:tc>
      </w:tr>
      <w:tr w:rsidR="00872401" w:rsidRPr="00C219DF" w14:paraId="138D37B6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shd w:val="clear" w:color="auto" w:fill="F2F2F2" w:themeFill="background1" w:themeFillShade="F2"/>
          </w:tcPr>
          <w:p w14:paraId="24AD9F0F" w14:textId="77777777" w:rsidR="00872401" w:rsidRPr="00C219DF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33BBB986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43C91090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</w:p>
        </w:tc>
      </w:tr>
      <w:tr w:rsidR="00872401" w:rsidRPr="00C219DF" w14:paraId="30FD63CE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2B9EFAF7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CA1</w:t>
            </w:r>
          </w:p>
        </w:tc>
        <w:tc>
          <w:tcPr>
            <w:tcW w:w="3827" w:type="dxa"/>
          </w:tcPr>
          <w:p w14:paraId="0D0E91E7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Stavební materiály</w:t>
            </w:r>
          </w:p>
        </w:tc>
        <w:tc>
          <w:tcPr>
            <w:tcW w:w="4820" w:type="dxa"/>
          </w:tcPr>
          <w:p w14:paraId="02FFF8E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4A1A8CC6" w14:textId="77777777" w:rsidTr="002A469D">
        <w:tblPrEx>
          <w:jc w:val="left"/>
        </w:tblPrEx>
        <w:trPr>
          <w:trHeight w:val="20"/>
        </w:trPr>
        <w:tc>
          <w:tcPr>
            <w:tcW w:w="965" w:type="dxa"/>
          </w:tcPr>
          <w:p w14:paraId="03EAA92A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CB1</w:t>
            </w:r>
          </w:p>
        </w:tc>
        <w:tc>
          <w:tcPr>
            <w:tcW w:w="3827" w:type="dxa"/>
          </w:tcPr>
          <w:p w14:paraId="5C6853C6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Konstrukce budovy</w:t>
            </w:r>
          </w:p>
        </w:tc>
        <w:tc>
          <w:tcPr>
            <w:tcW w:w="4820" w:type="dxa"/>
          </w:tcPr>
          <w:p w14:paraId="2962B08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</w:tbl>
    <w:p w14:paraId="77975314" w14:textId="77777777" w:rsidR="00872401" w:rsidRPr="00C219DF" w:rsidRDefault="00872401" w:rsidP="00872401">
      <w:pPr>
        <w:spacing w:before="200" w:after="200"/>
        <w:rPr>
          <w:b/>
          <w:szCs w:val="20"/>
        </w:rPr>
      </w:pPr>
      <w:r w:rsidRPr="00C219DF">
        <w:rPr>
          <w:b/>
          <w:szCs w:val="20"/>
        </w:rPr>
        <w:t>Rozhodnutí:</w:t>
      </w:r>
    </w:p>
    <w:p w14:paraId="035B2D97" w14:textId="77777777" w:rsidR="00872401" w:rsidRDefault="00872401" w:rsidP="00872401">
      <w:pPr>
        <w:spacing w:after="80"/>
        <w:rPr>
          <w:szCs w:val="20"/>
        </w:rPr>
      </w:pPr>
      <w:r>
        <w:rPr>
          <w:szCs w:val="20"/>
        </w:rPr>
        <w:t xml:space="preserve">V pojetí ČSN EN 61140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 xml:space="preserve">. 3, čl. 4.4 se jedná o prostory, které </w:t>
      </w:r>
      <w:r w:rsidRPr="00075175">
        <w:rPr>
          <w:b/>
          <w:bCs/>
          <w:szCs w:val="20"/>
        </w:rPr>
        <w:t>nezvyšují</w:t>
      </w:r>
      <w:r w:rsidRPr="008D77F2">
        <w:rPr>
          <w:b/>
          <w:bCs/>
          <w:szCs w:val="20"/>
        </w:rPr>
        <w:t xml:space="preserve"> nebezpečí úrazu elektrickým proudem.</w:t>
      </w:r>
      <w:r>
        <w:rPr>
          <w:b/>
          <w:bCs/>
          <w:szCs w:val="20"/>
        </w:rPr>
        <w:t xml:space="preserve"> </w:t>
      </w:r>
      <w:r w:rsidRPr="00075175">
        <w:rPr>
          <w:szCs w:val="20"/>
        </w:rPr>
        <w:t xml:space="preserve">Elektrické </w:t>
      </w:r>
      <w:r>
        <w:rPr>
          <w:szCs w:val="20"/>
        </w:rPr>
        <w:t>instalace v místech, které zvyšují nebezpečí úrazu elektrickým proudem, budou provedeny dle:</w:t>
      </w:r>
    </w:p>
    <w:p w14:paraId="5BF0AF21" w14:textId="77777777" w:rsidR="00872401" w:rsidRPr="00075175" w:rsidRDefault="00872401" w:rsidP="00872401">
      <w:pPr>
        <w:pStyle w:val="Odstavecseseznamem"/>
        <w:numPr>
          <w:ilvl w:val="0"/>
          <w:numId w:val="2"/>
        </w:numPr>
        <w:spacing w:after="80"/>
        <w:contextualSpacing w:val="0"/>
        <w:rPr>
          <w:szCs w:val="20"/>
        </w:rPr>
      </w:pPr>
      <w:r w:rsidRPr="00075175">
        <w:rPr>
          <w:szCs w:val="20"/>
        </w:rPr>
        <w:t xml:space="preserve">umývací prostory viz ČSN 33 2130 </w:t>
      </w:r>
      <w:proofErr w:type="spellStart"/>
      <w:r w:rsidRPr="00075175">
        <w:rPr>
          <w:szCs w:val="20"/>
        </w:rPr>
        <w:t>ed</w:t>
      </w:r>
      <w:proofErr w:type="spellEnd"/>
      <w:r w:rsidRPr="00075175">
        <w:rPr>
          <w:szCs w:val="20"/>
        </w:rPr>
        <w:t>. 3</w:t>
      </w:r>
    </w:p>
    <w:p w14:paraId="3B7B6473" w14:textId="77777777" w:rsidR="00872401" w:rsidRPr="00075175" w:rsidRDefault="00872401" w:rsidP="00872401">
      <w:pPr>
        <w:pStyle w:val="Odstavecseseznamem"/>
        <w:numPr>
          <w:ilvl w:val="0"/>
          <w:numId w:val="2"/>
        </w:numPr>
        <w:rPr>
          <w:szCs w:val="20"/>
        </w:rPr>
      </w:pPr>
      <w:r w:rsidRPr="00075175">
        <w:rPr>
          <w:szCs w:val="20"/>
        </w:rPr>
        <w:t xml:space="preserve">prostory s vanou nebo sprchou viz ČSN 33 2000-7-701 </w:t>
      </w:r>
      <w:proofErr w:type="spellStart"/>
      <w:r w:rsidRPr="00075175">
        <w:rPr>
          <w:szCs w:val="20"/>
        </w:rPr>
        <w:t>ed</w:t>
      </w:r>
      <w:proofErr w:type="spellEnd"/>
      <w:r w:rsidRPr="00075175">
        <w:rPr>
          <w:szCs w:val="20"/>
        </w:rPr>
        <w:t>. 2</w:t>
      </w:r>
    </w:p>
    <w:p w14:paraId="07C952FE" w14:textId="77777777" w:rsidR="00872401" w:rsidRDefault="00872401" w:rsidP="00872401">
      <w:pPr>
        <w:rPr>
          <w:szCs w:val="20"/>
        </w:rPr>
      </w:pPr>
      <w:r w:rsidRPr="00075175">
        <w:rPr>
          <w:b/>
          <w:bCs/>
          <w:szCs w:val="20"/>
        </w:rPr>
        <w:t>Pro vnější vliv BD3 platí</w:t>
      </w:r>
      <w:r>
        <w:rPr>
          <w:szCs w:val="20"/>
        </w:rPr>
        <w:t xml:space="preserve">: preventivní opatření viz související požadavky ČSN 33 2000-4-42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2, čl. 422.2.1, požadavky ČSN 33 2000-7-718, čl. 718.559.101.1 a požadavky ČSN EN 50172, čl. 4.4</w:t>
      </w:r>
    </w:p>
    <w:p w14:paraId="5CD9B226" w14:textId="4DCCF5E5" w:rsidR="007055BD" w:rsidRDefault="007055BD"/>
    <w:p w14:paraId="4B022835" w14:textId="2CCD672D" w:rsidR="00872401" w:rsidRDefault="00872401"/>
    <w:p w14:paraId="5EFBEEBB" w14:textId="02025D6B" w:rsidR="00872401" w:rsidRDefault="00872401"/>
    <w:p w14:paraId="2FC69169" w14:textId="6FC5442F" w:rsidR="00872401" w:rsidRDefault="00872401"/>
    <w:p w14:paraId="7DD5A426" w14:textId="0807475C" w:rsidR="00872401" w:rsidRDefault="00872401"/>
    <w:p w14:paraId="4B080EB1" w14:textId="77777777" w:rsidR="00872401" w:rsidRPr="00C219DF" w:rsidRDefault="00872401" w:rsidP="000B4BD4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C219DF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0F287C5D" w14:textId="22A26B2D" w:rsidR="00872401" w:rsidRDefault="00872401" w:rsidP="00872401">
      <w:pPr>
        <w:rPr>
          <w:szCs w:val="20"/>
        </w:rPr>
      </w:pPr>
      <w:proofErr w:type="spellStart"/>
      <w:r w:rsidRPr="002100FD">
        <w:rPr>
          <w:b/>
          <w:bCs/>
          <w:szCs w:val="20"/>
        </w:rPr>
        <w:t>m.č</w:t>
      </w:r>
      <w:proofErr w:type="spellEnd"/>
      <w:r w:rsidRPr="002100FD">
        <w:rPr>
          <w:b/>
          <w:bCs/>
          <w:szCs w:val="20"/>
        </w:rPr>
        <w:t>.:</w:t>
      </w:r>
      <w:r>
        <w:rPr>
          <w:szCs w:val="20"/>
        </w:rPr>
        <w:t xml:space="preserve"> </w:t>
      </w:r>
      <w:r w:rsidR="00A67AD6">
        <w:rPr>
          <w:szCs w:val="20"/>
        </w:rPr>
        <w:t>119,120</w:t>
      </w:r>
      <w:r>
        <w:rPr>
          <w:szCs w:val="20"/>
        </w:rPr>
        <w:br/>
      </w:r>
      <w:r w:rsidRPr="002100FD">
        <w:rPr>
          <w:b/>
          <w:bCs/>
          <w:szCs w:val="20"/>
        </w:rPr>
        <w:t>účel prostoru:</w:t>
      </w:r>
      <w:r>
        <w:rPr>
          <w:szCs w:val="20"/>
        </w:rPr>
        <w:t xml:space="preserve"> skladové prostory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872401" w:rsidRPr="00C219DF" w14:paraId="248B11B8" w14:textId="77777777" w:rsidTr="002A469D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1F37AA05" w14:textId="77777777" w:rsidR="00872401" w:rsidRPr="00C219DF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35823811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FADAB22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Třída vnějšího vlivu</w:t>
            </w:r>
          </w:p>
        </w:tc>
      </w:tr>
      <w:tr w:rsidR="00872401" w:rsidRPr="00C219DF" w14:paraId="6DD78F95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06337592" w14:textId="77777777" w:rsidR="00872401" w:rsidRPr="001D5D08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1D5D08">
              <w:rPr>
                <w:b/>
                <w:szCs w:val="20"/>
              </w:rPr>
              <w:t>AA4</w:t>
            </w:r>
          </w:p>
        </w:tc>
        <w:tc>
          <w:tcPr>
            <w:tcW w:w="3827" w:type="dxa"/>
            <w:vAlign w:val="center"/>
          </w:tcPr>
          <w:p w14:paraId="7F321E94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 w:rsidRPr="00E710EC">
              <w:rPr>
                <w:szCs w:val="20"/>
              </w:rPr>
              <w:t>Teplota okolí</w:t>
            </w:r>
          </w:p>
        </w:tc>
        <w:tc>
          <w:tcPr>
            <w:tcW w:w="4820" w:type="dxa"/>
          </w:tcPr>
          <w:p w14:paraId="6ECDF25B" w14:textId="63CB4D2E" w:rsidR="00872401" w:rsidRPr="00CB04AF" w:rsidRDefault="00872401" w:rsidP="002A469D">
            <w:pPr>
              <w:contextualSpacing/>
              <w:rPr>
                <w:szCs w:val="20"/>
                <w:highlight w:val="yellow"/>
              </w:rPr>
            </w:pPr>
            <w:r w:rsidRPr="00CB04AF">
              <w:rPr>
                <w:szCs w:val="20"/>
              </w:rPr>
              <w:t>návrhová teplota</w:t>
            </w:r>
            <w:r w:rsidR="00CB04AF">
              <w:rPr>
                <w:szCs w:val="20"/>
              </w:rPr>
              <w:t xml:space="preserve"> vytápění v zimních měsících</w:t>
            </w:r>
            <w:r w:rsidRPr="00CB04AF">
              <w:rPr>
                <w:szCs w:val="20"/>
              </w:rPr>
              <w:t xml:space="preserve"> +16 °C</w:t>
            </w:r>
          </w:p>
        </w:tc>
      </w:tr>
      <w:tr w:rsidR="00872401" w:rsidRPr="00C219DF" w14:paraId="5B5DCD22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01AC3128" w14:textId="77777777" w:rsidR="00872401" w:rsidRPr="001D5D08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1D5D08">
              <w:rPr>
                <w:b/>
                <w:szCs w:val="20"/>
              </w:rPr>
              <w:t>AB</w:t>
            </w:r>
            <w:r>
              <w:rPr>
                <w:b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45E67FE8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 w:rsidRPr="00E710EC">
              <w:rPr>
                <w:szCs w:val="20"/>
              </w:rPr>
              <w:t>Atmosférické vlivy okolí</w:t>
            </w:r>
          </w:p>
        </w:tc>
        <w:tc>
          <w:tcPr>
            <w:tcW w:w="4820" w:type="dxa"/>
          </w:tcPr>
          <w:p w14:paraId="36C5BFDA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 w:rsidRPr="00E710EC">
              <w:rPr>
                <w:szCs w:val="20"/>
              </w:rPr>
              <w:t xml:space="preserve">chráněné před atmosférickými vlivy </w:t>
            </w:r>
            <w:r>
              <w:rPr>
                <w:szCs w:val="20"/>
              </w:rPr>
              <w:t>s vytápěním</w:t>
            </w:r>
          </w:p>
        </w:tc>
      </w:tr>
      <w:tr w:rsidR="00872401" w:rsidRPr="00C219DF" w14:paraId="126C5794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3893815F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AC1</w:t>
            </w:r>
          </w:p>
        </w:tc>
        <w:tc>
          <w:tcPr>
            <w:tcW w:w="3827" w:type="dxa"/>
            <w:vAlign w:val="center"/>
          </w:tcPr>
          <w:p w14:paraId="0DD6E232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Nadmořská výška</w:t>
            </w:r>
          </w:p>
        </w:tc>
        <w:tc>
          <w:tcPr>
            <w:tcW w:w="4820" w:type="dxa"/>
          </w:tcPr>
          <w:p w14:paraId="07B052FD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sym w:font="Symbol" w:char="F0A3"/>
            </w:r>
            <w:r w:rsidRPr="00C219DF">
              <w:rPr>
                <w:szCs w:val="20"/>
              </w:rPr>
              <w:t xml:space="preserve"> 2000 m; normální</w:t>
            </w:r>
          </w:p>
        </w:tc>
      </w:tr>
      <w:tr w:rsidR="00872401" w:rsidRPr="00C219DF" w14:paraId="37BC08AB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61688DEC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AD1</w:t>
            </w:r>
          </w:p>
        </w:tc>
        <w:tc>
          <w:tcPr>
            <w:tcW w:w="3827" w:type="dxa"/>
            <w:vAlign w:val="center"/>
          </w:tcPr>
          <w:p w14:paraId="031989A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Výskyt vody z jiných zdrojů než z deště</w:t>
            </w:r>
          </w:p>
        </w:tc>
        <w:tc>
          <w:tcPr>
            <w:tcW w:w="4820" w:type="dxa"/>
          </w:tcPr>
          <w:p w14:paraId="05C37DC1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zanedbatelný</w:t>
            </w:r>
          </w:p>
        </w:tc>
      </w:tr>
      <w:tr w:rsidR="00872401" w:rsidRPr="00C219DF" w14:paraId="500D26DC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3A55164" w14:textId="2D9EBF77" w:rsidR="00872401" w:rsidRPr="00E43C2D" w:rsidRDefault="00872401" w:rsidP="002A469D">
            <w:pPr>
              <w:contextualSpacing/>
              <w:jc w:val="center"/>
              <w:rPr>
                <w:szCs w:val="20"/>
              </w:rPr>
            </w:pPr>
            <w:r w:rsidRPr="00E43C2D">
              <w:rPr>
                <w:szCs w:val="20"/>
              </w:rPr>
              <w:t>AE</w:t>
            </w:r>
            <w:r w:rsidR="00DA182C" w:rsidRPr="00E43C2D">
              <w:rPr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38304C9C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cizích pevných těles</w:t>
            </w:r>
          </w:p>
        </w:tc>
        <w:tc>
          <w:tcPr>
            <w:tcW w:w="4820" w:type="dxa"/>
          </w:tcPr>
          <w:p w14:paraId="2FF7CA00" w14:textId="20D911A2" w:rsidR="00872401" w:rsidRPr="00C219DF" w:rsidRDefault="00DA182C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zanedbatelný</w:t>
            </w:r>
          </w:p>
        </w:tc>
      </w:tr>
      <w:tr w:rsidR="00872401" w:rsidRPr="00C219DF" w14:paraId="1CAA1AE9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3989CFE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AF1</w:t>
            </w:r>
          </w:p>
        </w:tc>
        <w:tc>
          <w:tcPr>
            <w:tcW w:w="3827" w:type="dxa"/>
            <w:vAlign w:val="center"/>
          </w:tcPr>
          <w:p w14:paraId="30CB724C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korozivních nebo znečišťujících látek</w:t>
            </w:r>
          </w:p>
        </w:tc>
        <w:tc>
          <w:tcPr>
            <w:tcW w:w="4820" w:type="dxa"/>
          </w:tcPr>
          <w:p w14:paraId="07ECA607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zanedbatelný</w:t>
            </w:r>
          </w:p>
        </w:tc>
      </w:tr>
      <w:tr w:rsidR="00872401" w:rsidRPr="00C219DF" w14:paraId="21FE7740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4D7113F" w14:textId="514B8AE5" w:rsidR="00872401" w:rsidRPr="00DA182C" w:rsidRDefault="00872401" w:rsidP="002A469D">
            <w:pPr>
              <w:contextualSpacing/>
              <w:jc w:val="center"/>
              <w:rPr>
                <w:szCs w:val="20"/>
              </w:rPr>
            </w:pPr>
            <w:r w:rsidRPr="00DA182C">
              <w:rPr>
                <w:szCs w:val="20"/>
              </w:rPr>
              <w:t>AG</w:t>
            </w:r>
            <w:r w:rsidR="00DA182C" w:rsidRPr="00DA182C">
              <w:rPr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09BD64FF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Ráz</w:t>
            </w:r>
          </w:p>
        </w:tc>
        <w:tc>
          <w:tcPr>
            <w:tcW w:w="4820" w:type="dxa"/>
          </w:tcPr>
          <w:p w14:paraId="41D84C93" w14:textId="1074D41F" w:rsidR="00872401" w:rsidRPr="00C219DF" w:rsidRDefault="00DA182C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normální</w:t>
            </w:r>
          </w:p>
        </w:tc>
      </w:tr>
      <w:tr w:rsidR="00872401" w:rsidRPr="00C219DF" w14:paraId="49F932CC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3A318F8B" w14:textId="5A7FBEF2" w:rsidR="00872401" w:rsidRPr="00DA182C" w:rsidRDefault="00872401" w:rsidP="002A469D">
            <w:pPr>
              <w:contextualSpacing/>
              <w:jc w:val="center"/>
              <w:rPr>
                <w:szCs w:val="20"/>
              </w:rPr>
            </w:pPr>
            <w:r w:rsidRPr="00DA182C">
              <w:rPr>
                <w:szCs w:val="20"/>
              </w:rPr>
              <w:t>AH</w:t>
            </w:r>
            <w:r w:rsidR="00DA182C" w:rsidRPr="00DA182C">
              <w:rPr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A5C914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Vibrace</w:t>
            </w:r>
          </w:p>
        </w:tc>
        <w:tc>
          <w:tcPr>
            <w:tcW w:w="4820" w:type="dxa"/>
          </w:tcPr>
          <w:p w14:paraId="6C3F0D96" w14:textId="2B455776" w:rsidR="00872401" w:rsidRPr="00C219DF" w:rsidRDefault="00DA182C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normální</w:t>
            </w:r>
          </w:p>
        </w:tc>
      </w:tr>
      <w:tr w:rsidR="00872401" w:rsidRPr="00C219DF" w14:paraId="7B9C1888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81E86F6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AK1</w:t>
            </w:r>
          </w:p>
        </w:tc>
        <w:tc>
          <w:tcPr>
            <w:tcW w:w="3827" w:type="dxa"/>
            <w:vAlign w:val="center"/>
          </w:tcPr>
          <w:p w14:paraId="462C76D0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rostlinstva nebo plísní</w:t>
            </w:r>
          </w:p>
        </w:tc>
        <w:tc>
          <w:tcPr>
            <w:tcW w:w="4820" w:type="dxa"/>
          </w:tcPr>
          <w:p w14:paraId="32D6F5AF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bez nebezpečí</w:t>
            </w:r>
          </w:p>
        </w:tc>
      </w:tr>
      <w:tr w:rsidR="00872401" w:rsidRPr="00C219DF" w14:paraId="640C4E6C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E661111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AL1</w:t>
            </w:r>
          </w:p>
        </w:tc>
        <w:tc>
          <w:tcPr>
            <w:tcW w:w="3827" w:type="dxa"/>
            <w:vAlign w:val="center"/>
          </w:tcPr>
          <w:p w14:paraId="1CA9962A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živočichů</w:t>
            </w:r>
          </w:p>
        </w:tc>
        <w:tc>
          <w:tcPr>
            <w:tcW w:w="4820" w:type="dxa"/>
          </w:tcPr>
          <w:p w14:paraId="30F28CB2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bez nebezpečí</w:t>
            </w:r>
          </w:p>
        </w:tc>
      </w:tr>
      <w:tr w:rsidR="00872401" w:rsidRPr="00C219DF" w14:paraId="02512A21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7296332" w14:textId="77777777" w:rsidR="00872401" w:rsidRPr="00D83B0B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D83B0B">
              <w:rPr>
                <w:b/>
                <w:szCs w:val="20"/>
              </w:rPr>
              <w:t>AM-1-2</w:t>
            </w:r>
          </w:p>
        </w:tc>
        <w:tc>
          <w:tcPr>
            <w:tcW w:w="3827" w:type="dxa"/>
            <w:vAlign w:val="center"/>
          </w:tcPr>
          <w:p w14:paraId="19CF4677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 xml:space="preserve">Harmonické, </w:t>
            </w:r>
            <w:proofErr w:type="spellStart"/>
            <w:r>
              <w:rPr>
                <w:szCs w:val="20"/>
              </w:rPr>
              <w:t>meziharmonické</w:t>
            </w:r>
            <w:proofErr w:type="spellEnd"/>
          </w:p>
        </w:tc>
        <w:tc>
          <w:tcPr>
            <w:tcW w:w="4820" w:type="dxa"/>
          </w:tcPr>
          <w:p w14:paraId="3FCEF9C7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 xml:space="preserve">předpokládá se normální úroveň harmonických dle tabulky 1 ČSN EN 61000-2-2; dle objektu, viz </w:t>
            </w:r>
            <w:r>
              <w:rPr>
                <w:szCs w:val="20"/>
              </w:rPr>
              <w:fldChar w:fldCharType="begin"/>
            </w:r>
            <w:r>
              <w:rPr>
                <w:szCs w:val="20"/>
              </w:rPr>
              <w:instrText xml:space="preserve"> REF _Ref508031097 \r \h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szCs w:val="20"/>
              </w:rPr>
              <w:t>Příloha č. 1</w:t>
            </w:r>
            <w:r>
              <w:rPr>
                <w:szCs w:val="20"/>
              </w:rPr>
              <w:fldChar w:fldCharType="end"/>
            </w:r>
          </w:p>
        </w:tc>
      </w:tr>
      <w:tr w:rsidR="00872401" w:rsidRPr="00C219DF" w14:paraId="2CFC7609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EC9D780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AN1</w:t>
            </w:r>
          </w:p>
        </w:tc>
        <w:tc>
          <w:tcPr>
            <w:tcW w:w="3827" w:type="dxa"/>
            <w:vAlign w:val="center"/>
          </w:tcPr>
          <w:p w14:paraId="205D4D7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Sluneční záření</w:t>
            </w:r>
          </w:p>
        </w:tc>
        <w:tc>
          <w:tcPr>
            <w:tcW w:w="4820" w:type="dxa"/>
          </w:tcPr>
          <w:p w14:paraId="3671209A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38053ED3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6C48F2AF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AP1</w:t>
            </w:r>
          </w:p>
        </w:tc>
        <w:tc>
          <w:tcPr>
            <w:tcW w:w="3827" w:type="dxa"/>
            <w:vAlign w:val="center"/>
          </w:tcPr>
          <w:p w14:paraId="4593255A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Seismické účinky</w:t>
            </w:r>
          </w:p>
        </w:tc>
        <w:tc>
          <w:tcPr>
            <w:tcW w:w="4820" w:type="dxa"/>
          </w:tcPr>
          <w:p w14:paraId="390CB840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4759F9EC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3C47FABF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AQ1</w:t>
            </w:r>
          </w:p>
        </w:tc>
        <w:tc>
          <w:tcPr>
            <w:tcW w:w="3827" w:type="dxa"/>
            <w:vAlign w:val="center"/>
          </w:tcPr>
          <w:p w14:paraId="306B3FEA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Bouřková činnost</w:t>
            </w:r>
          </w:p>
        </w:tc>
        <w:tc>
          <w:tcPr>
            <w:tcW w:w="4820" w:type="dxa"/>
          </w:tcPr>
          <w:p w14:paraId="1D7FB546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47512996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61D5B51D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AR1</w:t>
            </w:r>
          </w:p>
        </w:tc>
        <w:tc>
          <w:tcPr>
            <w:tcW w:w="3827" w:type="dxa"/>
            <w:vAlign w:val="center"/>
          </w:tcPr>
          <w:p w14:paraId="5E92065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Pohyb vzduchu</w:t>
            </w:r>
          </w:p>
        </w:tc>
        <w:tc>
          <w:tcPr>
            <w:tcW w:w="4820" w:type="dxa"/>
          </w:tcPr>
          <w:p w14:paraId="2309BAD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1233B3B4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0FB53FC7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AS1</w:t>
            </w:r>
          </w:p>
        </w:tc>
        <w:tc>
          <w:tcPr>
            <w:tcW w:w="3827" w:type="dxa"/>
            <w:vAlign w:val="center"/>
          </w:tcPr>
          <w:p w14:paraId="375C786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Vítr</w:t>
            </w:r>
          </w:p>
        </w:tc>
        <w:tc>
          <w:tcPr>
            <w:tcW w:w="4820" w:type="dxa"/>
          </w:tcPr>
          <w:p w14:paraId="7184E435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nevyskytuje se</w:t>
            </w:r>
          </w:p>
        </w:tc>
      </w:tr>
      <w:tr w:rsidR="00872401" w:rsidRPr="00C219DF" w14:paraId="15DBD42C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6481A9F9" w14:textId="77777777" w:rsidR="00872401" w:rsidRPr="00C219DF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5D62AE64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2DC9129D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</w:p>
        </w:tc>
      </w:tr>
      <w:tr w:rsidR="00872401" w:rsidRPr="00C219DF" w14:paraId="680046D7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D676C3C" w14:textId="77777777" w:rsidR="00872401" w:rsidRPr="00DA182C" w:rsidRDefault="00872401" w:rsidP="002A469D">
            <w:pPr>
              <w:contextualSpacing/>
              <w:jc w:val="center"/>
              <w:rPr>
                <w:szCs w:val="20"/>
              </w:rPr>
            </w:pPr>
            <w:r w:rsidRPr="00DA182C">
              <w:rPr>
                <w:szCs w:val="20"/>
              </w:rPr>
              <w:t>BA1</w:t>
            </w:r>
          </w:p>
        </w:tc>
        <w:tc>
          <w:tcPr>
            <w:tcW w:w="3827" w:type="dxa"/>
            <w:vAlign w:val="center"/>
          </w:tcPr>
          <w:p w14:paraId="73B001E0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Schopnost osob</w:t>
            </w:r>
          </w:p>
        </w:tc>
        <w:tc>
          <w:tcPr>
            <w:tcW w:w="4820" w:type="dxa"/>
          </w:tcPr>
          <w:p w14:paraId="4244E489" w14:textId="2EDD9540" w:rsidR="00872401" w:rsidRPr="00C219DF" w:rsidRDefault="00DA182C" w:rsidP="002A469D">
            <w:pPr>
              <w:contextualSpacing/>
              <w:rPr>
                <w:szCs w:val="20"/>
                <w:highlight w:val="yellow"/>
              </w:rPr>
            </w:pPr>
            <w:r w:rsidRPr="00C219DF">
              <w:rPr>
                <w:szCs w:val="20"/>
              </w:rPr>
              <w:t>nepoučené osoby (laici)</w:t>
            </w:r>
          </w:p>
        </w:tc>
      </w:tr>
      <w:tr w:rsidR="00872401" w:rsidRPr="00C219DF" w14:paraId="341635CC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6DAA9599" w14:textId="7A23582C" w:rsidR="00872401" w:rsidRPr="00D83B0B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D83B0B">
              <w:rPr>
                <w:b/>
                <w:szCs w:val="20"/>
              </w:rPr>
              <w:t>BC</w:t>
            </w:r>
            <w:r w:rsidR="00DA182C">
              <w:rPr>
                <w:b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4439F336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Dotyk osob</w:t>
            </w:r>
            <w:r>
              <w:rPr>
                <w:szCs w:val="20"/>
              </w:rPr>
              <w:t xml:space="preserve"> s </w:t>
            </w:r>
            <w:r w:rsidRPr="00C219DF">
              <w:rPr>
                <w:szCs w:val="20"/>
              </w:rPr>
              <w:t>potenciálem země</w:t>
            </w:r>
          </w:p>
        </w:tc>
        <w:tc>
          <w:tcPr>
            <w:tcW w:w="4820" w:type="dxa"/>
          </w:tcPr>
          <w:p w14:paraId="7E34365B" w14:textId="0CDDB830" w:rsidR="00872401" w:rsidRPr="00C219DF" w:rsidRDefault="00DA182C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osoby se obvykle nedotýkají cizích vodivých částí a obvykle nestojí na vodivém podkladu</w:t>
            </w:r>
          </w:p>
        </w:tc>
      </w:tr>
      <w:tr w:rsidR="00872401" w:rsidRPr="00C219DF" w14:paraId="14914616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531AACF3" w14:textId="77777777" w:rsidR="00872401" w:rsidRPr="00D83B0B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D83B0B">
              <w:rPr>
                <w:b/>
                <w:szCs w:val="20"/>
              </w:rPr>
              <w:t>BD3</w:t>
            </w:r>
          </w:p>
        </w:tc>
        <w:tc>
          <w:tcPr>
            <w:tcW w:w="3827" w:type="dxa"/>
            <w:vAlign w:val="center"/>
          </w:tcPr>
          <w:p w14:paraId="4169B7F3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Podmínky úniku v případě nebezpečí</w:t>
            </w:r>
          </w:p>
        </w:tc>
        <w:tc>
          <w:tcPr>
            <w:tcW w:w="4820" w:type="dxa"/>
          </w:tcPr>
          <w:p w14:paraId="0FC2BEAC" w14:textId="77777777" w:rsidR="00872401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snadné podmínky pro únik;</w:t>
            </w:r>
          </w:p>
          <w:p w14:paraId="3D197459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pracoviště dle ČSN 33 2000-7-718, čl. 718.422.2.101</w:t>
            </w:r>
          </w:p>
        </w:tc>
      </w:tr>
      <w:tr w:rsidR="00872401" w:rsidRPr="00C219DF" w14:paraId="41399140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43A85F9" w14:textId="3E06D759" w:rsidR="00872401" w:rsidRPr="00B54299" w:rsidRDefault="00872401" w:rsidP="002A469D">
            <w:pPr>
              <w:contextualSpacing/>
              <w:jc w:val="center"/>
              <w:rPr>
                <w:b/>
                <w:bCs/>
                <w:szCs w:val="20"/>
              </w:rPr>
            </w:pPr>
            <w:r w:rsidRPr="00B54299">
              <w:rPr>
                <w:b/>
                <w:bCs/>
                <w:szCs w:val="20"/>
              </w:rPr>
              <w:t>BE</w:t>
            </w:r>
            <w:r w:rsidR="00B54299" w:rsidRPr="00B54299">
              <w:rPr>
                <w:b/>
                <w:bCs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74325BF9" w14:textId="77777777" w:rsidR="00872401" w:rsidRPr="00B54299" w:rsidRDefault="00872401" w:rsidP="002A469D">
            <w:pPr>
              <w:contextualSpacing/>
              <w:rPr>
                <w:szCs w:val="20"/>
              </w:rPr>
            </w:pPr>
            <w:r w:rsidRPr="00B54299">
              <w:rPr>
                <w:szCs w:val="20"/>
              </w:rPr>
              <w:t>Zpracovávané nebo skladované látky</w:t>
            </w:r>
          </w:p>
        </w:tc>
        <w:tc>
          <w:tcPr>
            <w:tcW w:w="4820" w:type="dxa"/>
          </w:tcPr>
          <w:p w14:paraId="4AFF5A57" w14:textId="6694254A" w:rsidR="00872401" w:rsidRPr="00B54299" w:rsidRDefault="00B54299" w:rsidP="002A469D">
            <w:pPr>
              <w:contextualSpacing/>
              <w:rPr>
                <w:szCs w:val="20"/>
              </w:rPr>
            </w:pPr>
            <w:r w:rsidRPr="00B54299">
              <w:rPr>
                <w:szCs w:val="20"/>
              </w:rPr>
              <w:t>Bez nebezpečí</w:t>
            </w:r>
          </w:p>
        </w:tc>
      </w:tr>
      <w:tr w:rsidR="00872401" w:rsidRPr="00C219DF" w14:paraId="2F89121B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58860F54" w14:textId="77777777" w:rsidR="00872401" w:rsidRPr="00C219DF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2A06E382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6552AB78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</w:p>
        </w:tc>
      </w:tr>
      <w:tr w:rsidR="00872401" w:rsidRPr="00C219DF" w14:paraId="77A9AC70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388864C9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CA1</w:t>
            </w:r>
          </w:p>
        </w:tc>
        <w:tc>
          <w:tcPr>
            <w:tcW w:w="3827" w:type="dxa"/>
            <w:vAlign w:val="center"/>
          </w:tcPr>
          <w:p w14:paraId="638F37BA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Stavební materiály</w:t>
            </w:r>
          </w:p>
        </w:tc>
        <w:tc>
          <w:tcPr>
            <w:tcW w:w="4820" w:type="dxa"/>
          </w:tcPr>
          <w:p w14:paraId="0859CA11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5941721A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34942B8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CB1</w:t>
            </w:r>
          </w:p>
        </w:tc>
        <w:tc>
          <w:tcPr>
            <w:tcW w:w="3827" w:type="dxa"/>
            <w:vAlign w:val="center"/>
          </w:tcPr>
          <w:p w14:paraId="6C915466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Konstrukce budovy</w:t>
            </w:r>
          </w:p>
        </w:tc>
        <w:tc>
          <w:tcPr>
            <w:tcW w:w="4820" w:type="dxa"/>
          </w:tcPr>
          <w:p w14:paraId="1E5FB8C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</w:tbl>
    <w:p w14:paraId="3EC34349" w14:textId="77777777" w:rsidR="00872401" w:rsidRPr="00C219DF" w:rsidRDefault="00872401" w:rsidP="00872401">
      <w:pPr>
        <w:spacing w:before="200" w:after="200"/>
        <w:rPr>
          <w:b/>
          <w:szCs w:val="20"/>
        </w:rPr>
      </w:pPr>
      <w:r w:rsidRPr="00C219DF">
        <w:rPr>
          <w:b/>
          <w:szCs w:val="20"/>
        </w:rPr>
        <w:t>Rozhodnutí:</w:t>
      </w:r>
    </w:p>
    <w:p w14:paraId="63F91A50" w14:textId="77777777" w:rsidR="00872401" w:rsidRDefault="00872401" w:rsidP="00872401">
      <w:pPr>
        <w:rPr>
          <w:szCs w:val="20"/>
        </w:rPr>
      </w:pPr>
      <w:r>
        <w:rPr>
          <w:szCs w:val="20"/>
        </w:rPr>
        <w:t xml:space="preserve">V pojetí ČSN EN 61140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 xml:space="preserve">. 3, čl. 4.4 se jedná o prostory, které </w:t>
      </w:r>
      <w:r w:rsidRPr="001D5D08">
        <w:rPr>
          <w:b/>
          <w:bCs/>
          <w:szCs w:val="20"/>
        </w:rPr>
        <w:t>nezvyšují</w:t>
      </w:r>
      <w:r w:rsidRPr="008D77F2">
        <w:rPr>
          <w:b/>
          <w:bCs/>
          <w:szCs w:val="20"/>
        </w:rPr>
        <w:t xml:space="preserve"> nebezpečí úrazu elektrickým proudem.</w:t>
      </w:r>
    </w:p>
    <w:p w14:paraId="66736440" w14:textId="77777777" w:rsidR="00872401" w:rsidRDefault="00872401" w:rsidP="00872401">
      <w:pPr>
        <w:rPr>
          <w:szCs w:val="20"/>
        </w:rPr>
      </w:pPr>
      <w:r w:rsidRPr="00075175">
        <w:rPr>
          <w:b/>
          <w:bCs/>
          <w:szCs w:val="20"/>
        </w:rPr>
        <w:t>Pro vnější vliv BD3 platí</w:t>
      </w:r>
      <w:r>
        <w:rPr>
          <w:szCs w:val="20"/>
        </w:rPr>
        <w:t xml:space="preserve">: preventivní opatření viz související požadavky ČSN 33 2000-4-42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2, čl. 422.2.1, požadavky ČSN 33 2000-7-718, čl. 718.559.101.1 a požadavky ČSN EN 50172, čl. 4.4.</w:t>
      </w:r>
    </w:p>
    <w:p w14:paraId="73D9C862" w14:textId="77777777" w:rsidR="00872401" w:rsidRDefault="00872401" w:rsidP="00872401">
      <w:pPr>
        <w:rPr>
          <w:szCs w:val="20"/>
        </w:rPr>
      </w:pPr>
      <w:r w:rsidRPr="001D5D08">
        <w:rPr>
          <w:b/>
          <w:bCs/>
          <w:szCs w:val="20"/>
        </w:rPr>
        <w:t>Pro vnější vliv BE2 platí</w:t>
      </w:r>
      <w:r>
        <w:rPr>
          <w:szCs w:val="20"/>
        </w:rPr>
        <w:t xml:space="preserve">: </w:t>
      </w:r>
      <w:r w:rsidRPr="001D5D08">
        <w:rPr>
          <w:szCs w:val="20"/>
        </w:rPr>
        <w:t>Elektrická zařízení musí být umístěna, provedena nebo zajištěna tak, aby za předepsaného provozního</w:t>
      </w:r>
      <w:r>
        <w:rPr>
          <w:szCs w:val="20"/>
        </w:rPr>
        <w:t xml:space="preserve"> </w:t>
      </w:r>
      <w:r w:rsidRPr="001D5D08">
        <w:rPr>
          <w:szCs w:val="20"/>
        </w:rPr>
        <w:t>stavu nemohla zapálit přítomné hořlavé hmoty obloukem, jiskrou, nebo žhavými částicemi uniklými ze</w:t>
      </w:r>
      <w:r>
        <w:rPr>
          <w:szCs w:val="20"/>
        </w:rPr>
        <w:t xml:space="preserve"> </w:t>
      </w:r>
      <w:r w:rsidRPr="001D5D08">
        <w:rPr>
          <w:szCs w:val="20"/>
        </w:rPr>
        <w:t>zařízení, případně působením povrchové teploty.</w:t>
      </w:r>
      <w:r>
        <w:rPr>
          <w:szCs w:val="20"/>
        </w:rPr>
        <w:t xml:space="preserve"> Elektrická instalace musí být provedena dle požadavků ČSN 33 2000-4-42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2, čl. 422.3.3.</w:t>
      </w:r>
      <w:r w:rsidRPr="00043CE8">
        <w:rPr>
          <w:szCs w:val="20"/>
        </w:rPr>
        <w:t xml:space="preserve"> </w:t>
      </w:r>
      <w:r w:rsidRPr="00DB120E">
        <w:rPr>
          <w:szCs w:val="20"/>
        </w:rPr>
        <w:t>Elektrická zařízení v tomto prostoru mají být provozována</w:t>
      </w:r>
      <w:r>
        <w:rPr>
          <w:szCs w:val="20"/>
        </w:rPr>
        <w:t xml:space="preserve"> </w:t>
      </w:r>
      <w:r w:rsidRPr="00DB120E">
        <w:rPr>
          <w:szCs w:val="20"/>
        </w:rPr>
        <w:t>alespoň pod občasným dohledem (Občasný odborný dohled je prokazatelný dohled prováděný</w:t>
      </w:r>
      <w:r>
        <w:rPr>
          <w:szCs w:val="20"/>
        </w:rPr>
        <w:t xml:space="preserve"> </w:t>
      </w:r>
      <w:r w:rsidRPr="00DB120E">
        <w:rPr>
          <w:szCs w:val="20"/>
        </w:rPr>
        <w:t>pracovníkem odborně způsobilým a seznámeným, který provádí kontrolu zařízení v</w:t>
      </w:r>
      <w:r>
        <w:rPr>
          <w:szCs w:val="20"/>
        </w:rPr>
        <w:t> </w:t>
      </w:r>
      <w:r w:rsidRPr="00DB120E">
        <w:rPr>
          <w:szCs w:val="20"/>
        </w:rPr>
        <w:t>pravidelných</w:t>
      </w:r>
      <w:r>
        <w:rPr>
          <w:szCs w:val="20"/>
        </w:rPr>
        <w:t xml:space="preserve"> </w:t>
      </w:r>
      <w:r w:rsidRPr="00DB120E">
        <w:rPr>
          <w:szCs w:val="20"/>
        </w:rPr>
        <w:t>intervalech, určených provozním předpisem).</w:t>
      </w:r>
    </w:p>
    <w:p w14:paraId="1F6242DA" w14:textId="77777777" w:rsidR="00872401" w:rsidRPr="00C219DF" w:rsidRDefault="00872401" w:rsidP="000B4BD4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C219DF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17AB59B9" w14:textId="77777777" w:rsidR="00872401" w:rsidRDefault="00872401" w:rsidP="00872401">
      <w:pPr>
        <w:rPr>
          <w:szCs w:val="20"/>
        </w:rPr>
      </w:pPr>
      <w:r w:rsidRPr="002100FD">
        <w:rPr>
          <w:b/>
          <w:bCs/>
          <w:szCs w:val="20"/>
        </w:rPr>
        <w:t>účel prostoru:</w:t>
      </w:r>
      <w:r>
        <w:rPr>
          <w:szCs w:val="20"/>
        </w:rPr>
        <w:t xml:space="preserve"> venkovní prostory v bezprostředním okolí objektu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872401" w:rsidRPr="00C219DF" w14:paraId="4C30AE6F" w14:textId="77777777" w:rsidTr="002A469D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239DCE59" w14:textId="77777777" w:rsidR="00872401" w:rsidRPr="00C219DF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801F263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DBCB9CB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Třída vnějšího vlivu</w:t>
            </w:r>
          </w:p>
        </w:tc>
      </w:tr>
      <w:tr w:rsidR="00872401" w:rsidRPr="00C219DF" w14:paraId="710D4FB5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02A0C4C0" w14:textId="77777777" w:rsidR="00872401" w:rsidRPr="00052AD2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052AD2">
              <w:rPr>
                <w:b/>
                <w:szCs w:val="20"/>
              </w:rPr>
              <w:t>AA8</w:t>
            </w:r>
          </w:p>
        </w:tc>
        <w:tc>
          <w:tcPr>
            <w:tcW w:w="3827" w:type="dxa"/>
            <w:vAlign w:val="center"/>
          </w:tcPr>
          <w:p w14:paraId="6CA8A6DB" w14:textId="77777777" w:rsidR="00872401" w:rsidRPr="00284D15" w:rsidRDefault="00872401" w:rsidP="002A469D">
            <w:pPr>
              <w:contextualSpacing/>
              <w:rPr>
                <w:szCs w:val="20"/>
              </w:rPr>
            </w:pPr>
            <w:r w:rsidRPr="00284D15">
              <w:rPr>
                <w:szCs w:val="20"/>
              </w:rPr>
              <w:t>Teplota okolí</w:t>
            </w:r>
          </w:p>
        </w:tc>
        <w:tc>
          <w:tcPr>
            <w:tcW w:w="4820" w:type="dxa"/>
          </w:tcPr>
          <w:p w14:paraId="1D1606BD" w14:textId="77777777" w:rsidR="00872401" w:rsidRPr="00284D15" w:rsidRDefault="00872401" w:rsidP="002A469D">
            <w:pPr>
              <w:contextualSpacing/>
              <w:rPr>
                <w:szCs w:val="20"/>
              </w:rPr>
            </w:pPr>
            <w:r w:rsidRPr="00284D15">
              <w:rPr>
                <w:szCs w:val="20"/>
              </w:rPr>
              <w:t>uvažovaný teplotní rozsah -25 °C až +40 °C</w:t>
            </w:r>
          </w:p>
        </w:tc>
      </w:tr>
      <w:tr w:rsidR="00872401" w:rsidRPr="00C219DF" w14:paraId="7DB85FFD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6B7C4CC" w14:textId="77777777" w:rsidR="00872401" w:rsidRPr="00052AD2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052AD2">
              <w:rPr>
                <w:b/>
                <w:szCs w:val="20"/>
              </w:rPr>
              <w:t>AB8</w:t>
            </w:r>
          </w:p>
        </w:tc>
        <w:tc>
          <w:tcPr>
            <w:tcW w:w="3827" w:type="dxa"/>
            <w:vAlign w:val="center"/>
          </w:tcPr>
          <w:p w14:paraId="73058B44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 w:rsidRPr="00E710EC">
              <w:rPr>
                <w:szCs w:val="20"/>
              </w:rPr>
              <w:t>Atmosférické vlivy okolí</w:t>
            </w:r>
          </w:p>
        </w:tc>
        <w:tc>
          <w:tcPr>
            <w:tcW w:w="4820" w:type="dxa"/>
          </w:tcPr>
          <w:p w14:paraId="36BCA2A5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venkovní prostory s nízkými i vysokými teplotami</w:t>
            </w:r>
          </w:p>
        </w:tc>
      </w:tr>
      <w:tr w:rsidR="00872401" w:rsidRPr="00C219DF" w14:paraId="6E036EDD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5477B20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AC1</w:t>
            </w:r>
          </w:p>
        </w:tc>
        <w:tc>
          <w:tcPr>
            <w:tcW w:w="3827" w:type="dxa"/>
            <w:vAlign w:val="center"/>
          </w:tcPr>
          <w:p w14:paraId="424B4B2C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Nadmořská výška</w:t>
            </w:r>
          </w:p>
        </w:tc>
        <w:tc>
          <w:tcPr>
            <w:tcW w:w="4820" w:type="dxa"/>
          </w:tcPr>
          <w:p w14:paraId="5D8FBAF0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sym w:font="Symbol" w:char="F0A3"/>
            </w:r>
            <w:r w:rsidRPr="00C219DF">
              <w:rPr>
                <w:szCs w:val="20"/>
              </w:rPr>
              <w:t xml:space="preserve"> 2000 m; normální</w:t>
            </w:r>
          </w:p>
        </w:tc>
      </w:tr>
      <w:tr w:rsidR="00872401" w:rsidRPr="00C219DF" w14:paraId="7194E4B6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14C100C9" w14:textId="77777777" w:rsidR="00872401" w:rsidRPr="00052AD2" w:rsidRDefault="00872401" w:rsidP="002A469D">
            <w:pPr>
              <w:contextualSpacing/>
              <w:jc w:val="center"/>
              <w:rPr>
                <w:b/>
                <w:bCs/>
                <w:szCs w:val="20"/>
              </w:rPr>
            </w:pPr>
            <w:r w:rsidRPr="00052AD2">
              <w:rPr>
                <w:b/>
                <w:bCs/>
                <w:szCs w:val="20"/>
              </w:rPr>
              <w:t>AD4</w:t>
            </w:r>
          </w:p>
        </w:tc>
        <w:tc>
          <w:tcPr>
            <w:tcW w:w="3827" w:type="dxa"/>
            <w:vAlign w:val="center"/>
          </w:tcPr>
          <w:p w14:paraId="4B47D318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Výskyt vody z jiných zdrojů než z deště</w:t>
            </w:r>
          </w:p>
        </w:tc>
        <w:tc>
          <w:tcPr>
            <w:tcW w:w="4820" w:type="dxa"/>
          </w:tcPr>
          <w:p w14:paraId="1D7A22C7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 xml:space="preserve">stříkající voda; krytí min. </w:t>
            </w:r>
            <w:r w:rsidRPr="00052AD2">
              <w:rPr>
                <w:b/>
                <w:bCs/>
                <w:szCs w:val="20"/>
              </w:rPr>
              <w:t>IPX4</w:t>
            </w:r>
            <w:r>
              <w:rPr>
                <w:szCs w:val="20"/>
              </w:rPr>
              <w:t xml:space="preserve"> </w:t>
            </w:r>
            <w:r>
              <w:rPr>
                <w:rStyle w:val="Znakapoznpodarou"/>
                <w:szCs w:val="20"/>
              </w:rPr>
              <w:footnoteReference w:id="1"/>
            </w:r>
            <w:r w:rsidRPr="00052AD2">
              <w:rPr>
                <w:szCs w:val="20"/>
                <w:vertAlign w:val="superscript"/>
              </w:rPr>
              <w:t>),</w:t>
            </w:r>
            <w:r>
              <w:rPr>
                <w:szCs w:val="20"/>
              </w:rPr>
              <w:t xml:space="preserve"> </w:t>
            </w:r>
            <w:r>
              <w:rPr>
                <w:rStyle w:val="Znakapoznpodarou"/>
                <w:szCs w:val="20"/>
              </w:rPr>
              <w:footnoteReference w:id="2"/>
            </w:r>
            <w:r w:rsidRPr="00052AD2">
              <w:rPr>
                <w:szCs w:val="20"/>
                <w:vertAlign w:val="superscript"/>
              </w:rPr>
              <w:t>),</w:t>
            </w:r>
            <w:r>
              <w:rPr>
                <w:szCs w:val="20"/>
              </w:rPr>
              <w:t xml:space="preserve"> </w:t>
            </w:r>
            <w:r>
              <w:rPr>
                <w:rStyle w:val="Znakapoznpodarou"/>
                <w:szCs w:val="20"/>
              </w:rPr>
              <w:footnoteReference w:id="3"/>
            </w:r>
            <w:r w:rsidRPr="00052AD2">
              <w:rPr>
                <w:szCs w:val="20"/>
                <w:vertAlign w:val="superscript"/>
              </w:rPr>
              <w:t>)</w:t>
            </w:r>
          </w:p>
        </w:tc>
      </w:tr>
      <w:tr w:rsidR="00872401" w:rsidRPr="003F3EC3" w14:paraId="4981A7C1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81711B3" w14:textId="54243C4E" w:rsidR="00872401" w:rsidRPr="007E5B3B" w:rsidRDefault="00872401" w:rsidP="002A469D">
            <w:pPr>
              <w:contextualSpacing/>
              <w:jc w:val="center"/>
              <w:rPr>
                <w:szCs w:val="20"/>
              </w:rPr>
            </w:pPr>
            <w:r w:rsidRPr="007E5B3B">
              <w:rPr>
                <w:b/>
                <w:bCs/>
                <w:szCs w:val="20"/>
              </w:rPr>
              <w:t>AE</w:t>
            </w:r>
            <w:r w:rsidR="007E5B3B" w:rsidRPr="007E5B3B">
              <w:rPr>
                <w:b/>
                <w:bCs/>
                <w:szCs w:val="20"/>
              </w:rPr>
              <w:t>1</w:t>
            </w:r>
            <w:r w:rsidRPr="007E5B3B">
              <w:rPr>
                <w:szCs w:val="20"/>
              </w:rPr>
              <w:t xml:space="preserve"> </w:t>
            </w:r>
            <w:r w:rsidRPr="007E5B3B">
              <w:rPr>
                <w:rStyle w:val="Znakapoznpodarou"/>
                <w:szCs w:val="20"/>
              </w:rPr>
              <w:footnoteReference w:id="4"/>
            </w:r>
            <w:r w:rsidRPr="007E5B3B">
              <w:rPr>
                <w:szCs w:val="20"/>
                <w:vertAlign w:val="superscript"/>
              </w:rPr>
              <w:t>)</w:t>
            </w:r>
          </w:p>
        </w:tc>
        <w:tc>
          <w:tcPr>
            <w:tcW w:w="3827" w:type="dxa"/>
            <w:vAlign w:val="center"/>
          </w:tcPr>
          <w:p w14:paraId="280EFC56" w14:textId="77777777" w:rsidR="00872401" w:rsidRPr="007E5B3B" w:rsidRDefault="00872401" w:rsidP="002A469D">
            <w:pPr>
              <w:contextualSpacing/>
              <w:rPr>
                <w:szCs w:val="20"/>
              </w:rPr>
            </w:pPr>
            <w:r w:rsidRPr="007E5B3B">
              <w:rPr>
                <w:szCs w:val="20"/>
              </w:rPr>
              <w:t>Výskyt cizích pevných těles</w:t>
            </w:r>
          </w:p>
        </w:tc>
        <w:tc>
          <w:tcPr>
            <w:tcW w:w="4820" w:type="dxa"/>
          </w:tcPr>
          <w:p w14:paraId="61F32FE7" w14:textId="1D7BEB11" w:rsidR="00872401" w:rsidRPr="007E5B3B" w:rsidRDefault="007E5B3B" w:rsidP="002A469D">
            <w:pPr>
              <w:contextualSpacing/>
              <w:rPr>
                <w:szCs w:val="20"/>
              </w:rPr>
            </w:pPr>
            <w:r w:rsidRPr="007E5B3B">
              <w:rPr>
                <w:szCs w:val="20"/>
              </w:rPr>
              <w:t>zanedbatelné</w:t>
            </w:r>
          </w:p>
        </w:tc>
      </w:tr>
      <w:tr w:rsidR="00872401" w:rsidRPr="00C219DF" w14:paraId="305038E2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0E0D741A" w14:textId="220B215B" w:rsidR="00872401" w:rsidRPr="007E5B3B" w:rsidRDefault="00872401" w:rsidP="002A469D">
            <w:pPr>
              <w:contextualSpacing/>
              <w:jc w:val="center"/>
              <w:rPr>
                <w:szCs w:val="20"/>
              </w:rPr>
            </w:pPr>
            <w:r w:rsidRPr="007E5B3B">
              <w:rPr>
                <w:b/>
                <w:bCs/>
                <w:szCs w:val="20"/>
              </w:rPr>
              <w:t>AF</w:t>
            </w:r>
            <w:r w:rsidR="007E5B3B" w:rsidRPr="007E5B3B">
              <w:rPr>
                <w:b/>
                <w:bCs/>
                <w:szCs w:val="20"/>
              </w:rPr>
              <w:t>1</w:t>
            </w:r>
            <w:r w:rsidRPr="007E5B3B">
              <w:rPr>
                <w:szCs w:val="20"/>
              </w:rPr>
              <w:t xml:space="preserve"> </w:t>
            </w:r>
            <w:r w:rsidRPr="007E5B3B">
              <w:rPr>
                <w:rStyle w:val="Znakapoznpodarou"/>
                <w:szCs w:val="20"/>
              </w:rPr>
              <w:footnoteReference w:id="5"/>
            </w:r>
            <w:r w:rsidRPr="007E5B3B">
              <w:rPr>
                <w:szCs w:val="20"/>
                <w:vertAlign w:val="superscript"/>
              </w:rPr>
              <w:t>)</w:t>
            </w:r>
          </w:p>
        </w:tc>
        <w:tc>
          <w:tcPr>
            <w:tcW w:w="3827" w:type="dxa"/>
            <w:vAlign w:val="center"/>
          </w:tcPr>
          <w:p w14:paraId="352BCCE2" w14:textId="77777777" w:rsidR="00872401" w:rsidRPr="007E5B3B" w:rsidRDefault="00872401" w:rsidP="002A469D">
            <w:pPr>
              <w:contextualSpacing/>
              <w:rPr>
                <w:szCs w:val="20"/>
              </w:rPr>
            </w:pPr>
            <w:r w:rsidRPr="007E5B3B">
              <w:rPr>
                <w:szCs w:val="20"/>
              </w:rPr>
              <w:t>Výskyt korozivních nebo znečišťujících látek</w:t>
            </w:r>
          </w:p>
        </w:tc>
        <w:tc>
          <w:tcPr>
            <w:tcW w:w="4820" w:type="dxa"/>
          </w:tcPr>
          <w:p w14:paraId="6C5FBFDC" w14:textId="7F8D5812" w:rsidR="00872401" w:rsidRPr="00C219DF" w:rsidRDefault="007E5B3B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zanedbatelné</w:t>
            </w:r>
          </w:p>
        </w:tc>
      </w:tr>
      <w:tr w:rsidR="00872401" w:rsidRPr="00C219DF" w14:paraId="0C10BC9A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10A3078D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AG1</w:t>
            </w:r>
          </w:p>
        </w:tc>
        <w:tc>
          <w:tcPr>
            <w:tcW w:w="3827" w:type="dxa"/>
            <w:vAlign w:val="center"/>
          </w:tcPr>
          <w:p w14:paraId="596570B5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Ráz</w:t>
            </w:r>
          </w:p>
        </w:tc>
        <w:tc>
          <w:tcPr>
            <w:tcW w:w="4820" w:type="dxa"/>
          </w:tcPr>
          <w:p w14:paraId="23A1AA58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43E5F387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920101F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AH1</w:t>
            </w:r>
          </w:p>
        </w:tc>
        <w:tc>
          <w:tcPr>
            <w:tcW w:w="3827" w:type="dxa"/>
            <w:vAlign w:val="center"/>
          </w:tcPr>
          <w:p w14:paraId="5E176D98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Vibrace</w:t>
            </w:r>
          </w:p>
        </w:tc>
        <w:tc>
          <w:tcPr>
            <w:tcW w:w="4820" w:type="dxa"/>
          </w:tcPr>
          <w:p w14:paraId="43D455A2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5BAAE676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67BC6D6A" w14:textId="77777777" w:rsidR="00872401" w:rsidRPr="00B35E0B" w:rsidRDefault="00872401" w:rsidP="002A469D">
            <w:pPr>
              <w:contextualSpacing/>
              <w:jc w:val="center"/>
              <w:rPr>
                <w:b/>
                <w:bCs/>
                <w:szCs w:val="20"/>
              </w:rPr>
            </w:pPr>
            <w:r w:rsidRPr="00B35E0B">
              <w:rPr>
                <w:b/>
                <w:bCs/>
                <w:szCs w:val="20"/>
              </w:rPr>
              <w:t>AK2</w:t>
            </w:r>
          </w:p>
        </w:tc>
        <w:tc>
          <w:tcPr>
            <w:tcW w:w="3827" w:type="dxa"/>
            <w:vAlign w:val="center"/>
          </w:tcPr>
          <w:p w14:paraId="42BE6083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rostlinstva nebo plísní</w:t>
            </w:r>
          </w:p>
        </w:tc>
        <w:tc>
          <w:tcPr>
            <w:tcW w:w="4820" w:type="dxa"/>
          </w:tcPr>
          <w:p w14:paraId="1C8955BD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 xml:space="preserve">vážné nebezpečí růstu rostlin/plísní; krytí min. </w:t>
            </w:r>
            <w:r w:rsidRPr="00B35E0B">
              <w:rPr>
                <w:b/>
                <w:bCs/>
                <w:szCs w:val="20"/>
              </w:rPr>
              <w:t>IP44</w:t>
            </w:r>
          </w:p>
        </w:tc>
      </w:tr>
      <w:tr w:rsidR="00872401" w:rsidRPr="00C219DF" w14:paraId="3C1284F4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6581C8D" w14:textId="77777777" w:rsidR="00872401" w:rsidRPr="00B35E0B" w:rsidRDefault="00872401" w:rsidP="002A469D">
            <w:pPr>
              <w:contextualSpacing/>
              <w:jc w:val="center"/>
              <w:rPr>
                <w:b/>
                <w:bCs/>
                <w:szCs w:val="20"/>
              </w:rPr>
            </w:pPr>
            <w:r w:rsidRPr="00B35E0B">
              <w:rPr>
                <w:b/>
                <w:bCs/>
                <w:szCs w:val="20"/>
              </w:rPr>
              <w:t>AL2</w:t>
            </w:r>
          </w:p>
        </w:tc>
        <w:tc>
          <w:tcPr>
            <w:tcW w:w="3827" w:type="dxa"/>
            <w:vAlign w:val="center"/>
          </w:tcPr>
          <w:p w14:paraId="3D4C2557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živočichů</w:t>
            </w:r>
          </w:p>
        </w:tc>
        <w:tc>
          <w:tcPr>
            <w:tcW w:w="4820" w:type="dxa"/>
          </w:tcPr>
          <w:p w14:paraId="2D414576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vážné</w:t>
            </w:r>
            <w:r w:rsidRPr="00C219DF">
              <w:rPr>
                <w:szCs w:val="20"/>
              </w:rPr>
              <w:t xml:space="preserve"> nebezpečí</w:t>
            </w:r>
            <w:r>
              <w:rPr>
                <w:szCs w:val="20"/>
              </w:rPr>
              <w:t xml:space="preserve"> výskytu hmyzu a ptáků; krytí min. </w:t>
            </w:r>
            <w:r w:rsidRPr="00B35E0B">
              <w:rPr>
                <w:b/>
                <w:bCs/>
                <w:szCs w:val="20"/>
              </w:rPr>
              <w:t>IP44</w:t>
            </w:r>
          </w:p>
        </w:tc>
      </w:tr>
      <w:tr w:rsidR="00872401" w:rsidRPr="00C219DF" w14:paraId="04729542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D834A40" w14:textId="77777777" w:rsidR="00872401" w:rsidRPr="00D83B0B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D83B0B">
              <w:rPr>
                <w:b/>
                <w:szCs w:val="20"/>
              </w:rPr>
              <w:t>AM-1-2</w:t>
            </w:r>
          </w:p>
        </w:tc>
        <w:tc>
          <w:tcPr>
            <w:tcW w:w="3827" w:type="dxa"/>
            <w:vAlign w:val="center"/>
          </w:tcPr>
          <w:p w14:paraId="20C44947" w14:textId="77777777" w:rsidR="00872401" w:rsidRPr="00E710EC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 xml:space="preserve">Harmonické, </w:t>
            </w:r>
            <w:proofErr w:type="spellStart"/>
            <w:r>
              <w:rPr>
                <w:szCs w:val="20"/>
              </w:rPr>
              <w:t>meziharmonické</w:t>
            </w:r>
            <w:proofErr w:type="spellEnd"/>
          </w:p>
        </w:tc>
        <w:tc>
          <w:tcPr>
            <w:tcW w:w="4820" w:type="dxa"/>
          </w:tcPr>
          <w:p w14:paraId="253BDBF9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předpokládá se normální úroveň harmonických dle tabulky 1 ČSN EN 61000-2-2</w:t>
            </w:r>
          </w:p>
        </w:tc>
      </w:tr>
      <w:tr w:rsidR="00872401" w:rsidRPr="00C219DF" w14:paraId="65D68141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3AD4C87D" w14:textId="77777777" w:rsidR="00872401" w:rsidRPr="00B35E0B" w:rsidRDefault="00872401" w:rsidP="002A469D">
            <w:pPr>
              <w:contextualSpacing/>
              <w:jc w:val="center"/>
              <w:rPr>
                <w:b/>
                <w:bCs/>
                <w:szCs w:val="20"/>
              </w:rPr>
            </w:pPr>
            <w:r w:rsidRPr="00B35E0B">
              <w:rPr>
                <w:b/>
                <w:bCs/>
                <w:szCs w:val="20"/>
              </w:rPr>
              <w:t>AN3</w:t>
            </w:r>
          </w:p>
        </w:tc>
        <w:tc>
          <w:tcPr>
            <w:tcW w:w="3827" w:type="dxa"/>
            <w:vAlign w:val="center"/>
          </w:tcPr>
          <w:p w14:paraId="101C302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Sluneční záření</w:t>
            </w:r>
          </w:p>
        </w:tc>
        <w:tc>
          <w:tcPr>
            <w:tcW w:w="4820" w:type="dxa"/>
          </w:tcPr>
          <w:p w14:paraId="246F888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 xml:space="preserve">700 </w:t>
            </w:r>
            <w:r>
              <w:rPr>
                <w:rFonts w:cstheme="minorHAnsi"/>
                <w:szCs w:val="20"/>
              </w:rPr>
              <w:t xml:space="preserve">÷ </w:t>
            </w:r>
            <w:r>
              <w:rPr>
                <w:szCs w:val="20"/>
              </w:rPr>
              <w:t>1120 W/m</w:t>
            </w:r>
            <w:r w:rsidRPr="00B35E0B">
              <w:rPr>
                <w:szCs w:val="20"/>
                <w:vertAlign w:val="superscript"/>
              </w:rPr>
              <w:t>2</w:t>
            </w:r>
            <w:r>
              <w:rPr>
                <w:szCs w:val="20"/>
              </w:rPr>
              <w:t>; jsou požadována vhodná opatření</w:t>
            </w:r>
          </w:p>
        </w:tc>
      </w:tr>
      <w:tr w:rsidR="00872401" w:rsidRPr="00C219DF" w14:paraId="5F69A877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1299A5D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AP1</w:t>
            </w:r>
          </w:p>
        </w:tc>
        <w:tc>
          <w:tcPr>
            <w:tcW w:w="3827" w:type="dxa"/>
            <w:vAlign w:val="center"/>
          </w:tcPr>
          <w:p w14:paraId="6413D65F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Seismické účinky</w:t>
            </w:r>
          </w:p>
        </w:tc>
        <w:tc>
          <w:tcPr>
            <w:tcW w:w="4820" w:type="dxa"/>
          </w:tcPr>
          <w:p w14:paraId="6813ECA0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18425204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370BE1C" w14:textId="77777777" w:rsidR="00872401" w:rsidRPr="00B35E0B" w:rsidRDefault="00872401" w:rsidP="002A469D">
            <w:pPr>
              <w:contextualSpacing/>
              <w:jc w:val="center"/>
              <w:rPr>
                <w:b/>
                <w:bCs/>
                <w:szCs w:val="20"/>
              </w:rPr>
            </w:pPr>
            <w:r w:rsidRPr="00B35E0B">
              <w:rPr>
                <w:b/>
                <w:bCs/>
                <w:szCs w:val="20"/>
              </w:rPr>
              <w:t>AQ2</w:t>
            </w:r>
          </w:p>
        </w:tc>
        <w:tc>
          <w:tcPr>
            <w:tcW w:w="3827" w:type="dxa"/>
            <w:vAlign w:val="center"/>
          </w:tcPr>
          <w:p w14:paraId="473A330E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Bouřková činnost</w:t>
            </w:r>
          </w:p>
        </w:tc>
        <w:tc>
          <w:tcPr>
            <w:tcW w:w="4820" w:type="dxa"/>
          </w:tcPr>
          <w:p w14:paraId="1EC575BB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  <w:r>
              <w:rPr>
                <w:szCs w:val="20"/>
              </w:rPr>
              <w:t xml:space="preserve">; nepřímé ohrožení pro zónu LPZ </w:t>
            </w:r>
            <w:proofErr w:type="gramStart"/>
            <w:r>
              <w:rPr>
                <w:szCs w:val="20"/>
              </w:rPr>
              <w:t>0</w:t>
            </w:r>
            <w:r w:rsidRPr="00B35E0B">
              <w:rPr>
                <w:szCs w:val="20"/>
                <w:vertAlign w:val="subscript"/>
              </w:rPr>
              <w:t>B</w:t>
            </w:r>
            <w:proofErr w:type="gramEnd"/>
          </w:p>
        </w:tc>
      </w:tr>
      <w:tr w:rsidR="00872401" w:rsidRPr="00C219DF" w14:paraId="156F3EA8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3511714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AR1</w:t>
            </w:r>
          </w:p>
        </w:tc>
        <w:tc>
          <w:tcPr>
            <w:tcW w:w="3827" w:type="dxa"/>
            <w:vAlign w:val="center"/>
          </w:tcPr>
          <w:p w14:paraId="18EF39E0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Pohyb vzduchu</w:t>
            </w:r>
          </w:p>
        </w:tc>
        <w:tc>
          <w:tcPr>
            <w:tcW w:w="4820" w:type="dxa"/>
          </w:tcPr>
          <w:p w14:paraId="2C8C1786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10C9DAC7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67C377BD" w14:textId="77777777" w:rsidR="00872401" w:rsidRPr="00B35E0B" w:rsidRDefault="00872401" w:rsidP="002A469D">
            <w:pPr>
              <w:contextualSpacing/>
              <w:jc w:val="center"/>
              <w:rPr>
                <w:b/>
                <w:bCs/>
                <w:szCs w:val="20"/>
              </w:rPr>
            </w:pPr>
            <w:r w:rsidRPr="00B35E0B">
              <w:rPr>
                <w:b/>
                <w:bCs/>
                <w:szCs w:val="20"/>
              </w:rPr>
              <w:t>AS2</w:t>
            </w:r>
            <w:r>
              <w:rPr>
                <w:rFonts w:cstheme="minorHAnsi"/>
                <w:szCs w:val="20"/>
              </w:rPr>
              <w:t xml:space="preserve"> </w:t>
            </w:r>
            <w:r>
              <w:rPr>
                <w:rStyle w:val="Znakapoznpodarou"/>
                <w:rFonts w:cstheme="minorHAnsi"/>
                <w:szCs w:val="20"/>
              </w:rPr>
              <w:footnoteReference w:id="6"/>
            </w:r>
            <w:r w:rsidRPr="003F3EC3">
              <w:rPr>
                <w:rFonts w:cstheme="minorHAnsi"/>
                <w:szCs w:val="20"/>
                <w:vertAlign w:val="superscript"/>
              </w:rPr>
              <w:t>)</w:t>
            </w:r>
          </w:p>
        </w:tc>
        <w:tc>
          <w:tcPr>
            <w:tcW w:w="3827" w:type="dxa"/>
            <w:vAlign w:val="center"/>
          </w:tcPr>
          <w:p w14:paraId="50D57D27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Vítr</w:t>
            </w:r>
          </w:p>
        </w:tc>
        <w:tc>
          <w:tcPr>
            <w:tcW w:w="4820" w:type="dxa"/>
          </w:tcPr>
          <w:p w14:paraId="292F25CC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596AB0">
              <w:rPr>
                <w:szCs w:val="20"/>
              </w:rPr>
              <w:t xml:space="preserve">20 </w:t>
            </w:r>
            <w:r w:rsidRPr="00596AB0">
              <w:rPr>
                <w:rFonts w:cstheme="minorHAnsi"/>
                <w:szCs w:val="20"/>
              </w:rPr>
              <w:t>÷ 30 m/s;</w:t>
            </w:r>
            <w:r>
              <w:rPr>
                <w:rFonts w:cstheme="minorHAnsi"/>
                <w:szCs w:val="20"/>
              </w:rPr>
              <w:t xml:space="preserve"> jsou požadována vhodná opatření</w:t>
            </w:r>
          </w:p>
        </w:tc>
      </w:tr>
      <w:tr w:rsidR="00872401" w:rsidRPr="00C219DF" w14:paraId="2CAF1063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2ADACBB4" w14:textId="77777777" w:rsidR="00872401" w:rsidRPr="00C219DF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26C56FD7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7F604E76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</w:p>
        </w:tc>
      </w:tr>
      <w:tr w:rsidR="00872401" w:rsidRPr="00C219DF" w14:paraId="50F95984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531461D5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BA1</w:t>
            </w:r>
          </w:p>
        </w:tc>
        <w:tc>
          <w:tcPr>
            <w:tcW w:w="3827" w:type="dxa"/>
            <w:vAlign w:val="center"/>
          </w:tcPr>
          <w:p w14:paraId="4FFA073D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Schopnost osob</w:t>
            </w:r>
          </w:p>
        </w:tc>
        <w:tc>
          <w:tcPr>
            <w:tcW w:w="4820" w:type="dxa"/>
          </w:tcPr>
          <w:p w14:paraId="45F4875A" w14:textId="77777777" w:rsidR="00872401" w:rsidRPr="00C219DF" w:rsidRDefault="00872401" w:rsidP="002A469D">
            <w:pPr>
              <w:contextualSpacing/>
              <w:rPr>
                <w:szCs w:val="20"/>
                <w:highlight w:val="yellow"/>
              </w:rPr>
            </w:pPr>
            <w:r w:rsidRPr="00C219DF">
              <w:rPr>
                <w:szCs w:val="20"/>
              </w:rPr>
              <w:t>nepoučené osoby (laici)</w:t>
            </w:r>
          </w:p>
        </w:tc>
      </w:tr>
      <w:tr w:rsidR="00872401" w:rsidRPr="00C219DF" w14:paraId="1A910A11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08EC0448" w14:textId="77777777" w:rsidR="00872401" w:rsidRPr="003F3EC3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3F3EC3">
              <w:rPr>
                <w:b/>
                <w:szCs w:val="20"/>
              </w:rPr>
              <w:t>BC3</w:t>
            </w:r>
          </w:p>
        </w:tc>
        <w:tc>
          <w:tcPr>
            <w:tcW w:w="3827" w:type="dxa"/>
            <w:vAlign w:val="center"/>
          </w:tcPr>
          <w:p w14:paraId="616D0423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Dotyk osob</w:t>
            </w:r>
            <w:r>
              <w:rPr>
                <w:szCs w:val="20"/>
              </w:rPr>
              <w:t xml:space="preserve"> s </w:t>
            </w:r>
            <w:r w:rsidRPr="00C219DF">
              <w:rPr>
                <w:szCs w:val="20"/>
              </w:rPr>
              <w:t>potenciálem země</w:t>
            </w:r>
          </w:p>
        </w:tc>
        <w:tc>
          <w:tcPr>
            <w:tcW w:w="4820" w:type="dxa"/>
          </w:tcPr>
          <w:p w14:paraId="2E44A595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častý kontakt osob s potenciálem země</w:t>
            </w:r>
          </w:p>
        </w:tc>
      </w:tr>
      <w:tr w:rsidR="00872401" w:rsidRPr="00C219DF" w14:paraId="15F9A738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93BE5D9" w14:textId="77777777" w:rsidR="00872401" w:rsidRPr="00E710EC" w:rsidRDefault="00872401" w:rsidP="002A469D">
            <w:pPr>
              <w:contextualSpacing/>
              <w:jc w:val="center"/>
              <w:rPr>
                <w:bCs/>
                <w:szCs w:val="20"/>
              </w:rPr>
            </w:pPr>
            <w:r w:rsidRPr="00E710EC">
              <w:rPr>
                <w:bCs/>
                <w:szCs w:val="20"/>
              </w:rPr>
              <w:t>BD1</w:t>
            </w:r>
          </w:p>
        </w:tc>
        <w:tc>
          <w:tcPr>
            <w:tcW w:w="3827" w:type="dxa"/>
            <w:vAlign w:val="center"/>
          </w:tcPr>
          <w:p w14:paraId="19ED8E1A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Podmínky úniku v případě nebezpečí</w:t>
            </w:r>
          </w:p>
        </w:tc>
        <w:tc>
          <w:tcPr>
            <w:tcW w:w="4820" w:type="dxa"/>
          </w:tcPr>
          <w:p w14:paraId="49712DDF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m</w:t>
            </w:r>
            <w:r w:rsidRPr="00E710EC">
              <w:rPr>
                <w:szCs w:val="20"/>
              </w:rPr>
              <w:t>alá hustota obsazení, snadné podmínky</w:t>
            </w:r>
            <w:r>
              <w:rPr>
                <w:szCs w:val="20"/>
              </w:rPr>
              <w:t xml:space="preserve"> </w:t>
            </w:r>
            <w:r w:rsidRPr="00E710EC">
              <w:rPr>
                <w:szCs w:val="20"/>
              </w:rPr>
              <w:t>pro únik</w:t>
            </w:r>
          </w:p>
        </w:tc>
      </w:tr>
      <w:tr w:rsidR="00872401" w:rsidRPr="00C219DF" w14:paraId="546A0CCC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590D5B4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BE1</w:t>
            </w:r>
          </w:p>
        </w:tc>
        <w:tc>
          <w:tcPr>
            <w:tcW w:w="3827" w:type="dxa"/>
            <w:vAlign w:val="center"/>
          </w:tcPr>
          <w:p w14:paraId="4063235F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Zpracovávané nebo skladované látky</w:t>
            </w:r>
          </w:p>
        </w:tc>
        <w:tc>
          <w:tcPr>
            <w:tcW w:w="4820" w:type="dxa"/>
          </w:tcPr>
          <w:p w14:paraId="3650CA34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bez významného nebezpečí</w:t>
            </w:r>
          </w:p>
        </w:tc>
      </w:tr>
      <w:tr w:rsidR="00872401" w:rsidRPr="00C219DF" w14:paraId="095D2F55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0379DB22" w14:textId="77777777" w:rsidR="00872401" w:rsidRPr="00C219DF" w:rsidRDefault="00872401" w:rsidP="002A469D">
            <w:pPr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4D865D7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2CC7D5AE" w14:textId="77777777" w:rsidR="00872401" w:rsidRPr="00C219DF" w:rsidRDefault="00872401" w:rsidP="002A469D">
            <w:pPr>
              <w:contextualSpacing/>
              <w:rPr>
                <w:b/>
                <w:szCs w:val="20"/>
              </w:rPr>
            </w:pPr>
          </w:p>
        </w:tc>
      </w:tr>
      <w:tr w:rsidR="00872401" w:rsidRPr="00C219DF" w14:paraId="326F552D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56ED8F6B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CA1</w:t>
            </w:r>
          </w:p>
        </w:tc>
        <w:tc>
          <w:tcPr>
            <w:tcW w:w="3827" w:type="dxa"/>
            <w:vAlign w:val="center"/>
          </w:tcPr>
          <w:p w14:paraId="72A3D6E8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Stavební materiály</w:t>
            </w:r>
          </w:p>
        </w:tc>
        <w:tc>
          <w:tcPr>
            <w:tcW w:w="4820" w:type="dxa"/>
          </w:tcPr>
          <w:p w14:paraId="127876B9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872401" w:rsidRPr="00C219DF" w14:paraId="49955819" w14:textId="77777777" w:rsidTr="002A469D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4235B23" w14:textId="77777777" w:rsidR="00872401" w:rsidRPr="00C219DF" w:rsidRDefault="00872401" w:rsidP="002A469D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CB1</w:t>
            </w:r>
          </w:p>
        </w:tc>
        <w:tc>
          <w:tcPr>
            <w:tcW w:w="3827" w:type="dxa"/>
            <w:vAlign w:val="center"/>
          </w:tcPr>
          <w:p w14:paraId="0B6C4BF9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Konstrukce budovy</w:t>
            </w:r>
          </w:p>
        </w:tc>
        <w:tc>
          <w:tcPr>
            <w:tcW w:w="4820" w:type="dxa"/>
          </w:tcPr>
          <w:p w14:paraId="54AB457B" w14:textId="77777777" w:rsidR="00872401" w:rsidRPr="00C219DF" w:rsidRDefault="00872401" w:rsidP="002A469D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</w:tbl>
    <w:p w14:paraId="01619DD0" w14:textId="77777777" w:rsidR="00872401" w:rsidRPr="00C219DF" w:rsidRDefault="00872401" w:rsidP="00872401">
      <w:pPr>
        <w:spacing w:before="200" w:after="200"/>
        <w:rPr>
          <w:b/>
          <w:szCs w:val="20"/>
        </w:rPr>
      </w:pPr>
      <w:r w:rsidRPr="00C219DF">
        <w:rPr>
          <w:b/>
          <w:szCs w:val="20"/>
        </w:rPr>
        <w:t>Rozhodnutí:</w:t>
      </w:r>
    </w:p>
    <w:p w14:paraId="18EFE92A" w14:textId="77777777" w:rsidR="00872401" w:rsidRDefault="00872401" w:rsidP="00872401">
      <w:pPr>
        <w:rPr>
          <w:b/>
          <w:bCs/>
          <w:szCs w:val="20"/>
        </w:rPr>
      </w:pPr>
      <w:r>
        <w:rPr>
          <w:szCs w:val="20"/>
        </w:rPr>
        <w:t xml:space="preserve">V pojetí ČSN EN 61140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 xml:space="preserve">. 3, čl. 4.4 se jedná o prostory, které </w:t>
      </w:r>
      <w:r w:rsidRPr="003F3EC3">
        <w:rPr>
          <w:b/>
          <w:bCs/>
          <w:szCs w:val="20"/>
        </w:rPr>
        <w:t>nezvyšují</w:t>
      </w:r>
      <w:r w:rsidRPr="008D77F2">
        <w:rPr>
          <w:b/>
          <w:bCs/>
          <w:szCs w:val="20"/>
        </w:rPr>
        <w:t xml:space="preserve"> nebezpečí úrazu elektrickým proudem</w:t>
      </w:r>
      <w:r>
        <w:rPr>
          <w:b/>
          <w:bCs/>
          <w:szCs w:val="20"/>
        </w:rPr>
        <w:t xml:space="preserve"> pouze za podmínky</w:t>
      </w:r>
      <w:r>
        <w:rPr>
          <w:szCs w:val="20"/>
        </w:rPr>
        <w:t xml:space="preserve">, že se s elektrickým zařízením bude manipulovat výhradně jen tehdy, je-li v daných prostorách zanedbatelná pravděpodobnost výskytu vody (vlhko, déšť, </w:t>
      </w:r>
      <w:proofErr w:type="gramStart"/>
      <w:r>
        <w:rPr>
          <w:szCs w:val="20"/>
        </w:rPr>
        <w:t>sníh,</w:t>
      </w:r>
      <w:proofErr w:type="gramEnd"/>
      <w:r>
        <w:rPr>
          <w:szCs w:val="20"/>
        </w:rPr>
        <w:t xml:space="preserve"> apod.). </w:t>
      </w:r>
      <w:r>
        <w:rPr>
          <w:b/>
          <w:bCs/>
          <w:szCs w:val="20"/>
        </w:rPr>
        <w:t>Při nesplnění této podmínky jde o prostory, které zvyšují nebezpečí úrazu elektrickým proudem.</w:t>
      </w:r>
    </w:p>
    <w:p w14:paraId="46D0B75E" w14:textId="77777777" w:rsidR="00872401" w:rsidRDefault="00872401" w:rsidP="00872401">
      <w:pPr>
        <w:rPr>
          <w:szCs w:val="20"/>
        </w:rPr>
      </w:pPr>
      <w:r>
        <w:rPr>
          <w:b/>
          <w:bCs/>
          <w:szCs w:val="20"/>
        </w:rPr>
        <w:t>Pro vnější vliv AN3 platí</w:t>
      </w:r>
      <w:r>
        <w:rPr>
          <w:szCs w:val="20"/>
        </w:rPr>
        <w:t>: Veškerý použitý elektroinstalační materiál musí být UV stabilní.</w:t>
      </w:r>
    </w:p>
    <w:p w14:paraId="50175E96" w14:textId="77777777" w:rsidR="00872401" w:rsidRDefault="00872401" w:rsidP="00872401">
      <w:pPr>
        <w:rPr>
          <w:szCs w:val="20"/>
        </w:rPr>
      </w:pPr>
      <w:r>
        <w:rPr>
          <w:szCs w:val="20"/>
        </w:rPr>
        <w:t xml:space="preserve">Při osazení nouzových svítidel v těchto prostorách je nutno respektovat Přílohu A ČSN EN 60598-2-22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2, dle níž musí být trvalá teplota okolí článků uvnitř nouzových svítidel s integrovanou baterií minimálně 5</w:t>
      </w:r>
      <w:r w:rsidRPr="00B926BD">
        <w:rPr>
          <w:szCs w:val="20"/>
        </w:rPr>
        <w:t xml:space="preserve"> °C</w:t>
      </w:r>
      <w:r>
        <w:rPr>
          <w:szCs w:val="20"/>
        </w:rPr>
        <w:t xml:space="preserve">. </w:t>
      </w:r>
    </w:p>
    <w:p w14:paraId="374CFBBD" w14:textId="77777777" w:rsidR="00872401" w:rsidRDefault="00872401"/>
    <w:sectPr w:rsidR="008724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59132" w14:textId="77777777" w:rsidR="008B01F5" w:rsidRDefault="008B01F5" w:rsidP="00872401">
      <w:pPr>
        <w:spacing w:after="0" w:line="240" w:lineRule="auto"/>
      </w:pPr>
      <w:r>
        <w:separator/>
      </w:r>
    </w:p>
  </w:endnote>
  <w:endnote w:type="continuationSeparator" w:id="0">
    <w:p w14:paraId="6318CF73" w14:textId="77777777" w:rsidR="008B01F5" w:rsidRDefault="008B01F5" w:rsidP="0087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092CB" w14:textId="7613E872" w:rsidR="007714EB" w:rsidRPr="00075175" w:rsidRDefault="007714EB" w:rsidP="007714EB">
    <w:pPr>
      <w:pStyle w:val="Zpat"/>
      <w:pBdr>
        <w:top w:val="single" w:sz="4" w:space="1" w:color="808080" w:themeColor="background1" w:themeShade="80"/>
      </w:pBdr>
      <w:tabs>
        <w:tab w:val="right" w:pos="14292"/>
      </w:tabs>
      <w:rPr>
        <w:color w:val="808080" w:themeColor="background1" w:themeShade="80"/>
        <w:sz w:val="18"/>
        <w:szCs w:val="18"/>
      </w:rPr>
    </w:pPr>
    <w:r w:rsidRPr="00E7158F">
      <w:rPr>
        <w:color w:val="808080" w:themeColor="background1" w:themeShade="80"/>
        <w:sz w:val="18"/>
        <w:szCs w:val="18"/>
      </w:rPr>
      <w:t>PROTOKOL O URČENÍ VNĚJŠÍCH VLIVŮ</w:t>
    </w:r>
    <w:r w:rsidRPr="00E7158F">
      <w:rPr>
        <w:color w:val="808080" w:themeColor="background1" w:themeShade="80"/>
        <w:sz w:val="18"/>
        <w:szCs w:val="18"/>
      </w:rPr>
      <w:tab/>
      <w:t xml:space="preserve">Číslo dokumentu: </w:t>
    </w:r>
    <w:r w:rsidR="00BB5D00">
      <w:rPr>
        <w:b/>
        <w:color w:val="808080" w:themeColor="background1" w:themeShade="80"/>
        <w:sz w:val="18"/>
        <w:szCs w:val="18"/>
      </w:rPr>
      <w:t>R21050</w:t>
    </w:r>
    <w:r w:rsidRPr="00E7158F">
      <w:rPr>
        <w:color w:val="808080" w:themeColor="background1" w:themeShade="80"/>
        <w:sz w:val="18"/>
        <w:szCs w:val="18"/>
      </w:rPr>
      <w:tab/>
    </w:r>
    <w:r w:rsidRPr="00E7158F">
      <w:rPr>
        <w:rStyle w:val="slostrnky"/>
        <w:color w:val="808080" w:themeColor="background1" w:themeShade="80"/>
        <w:sz w:val="18"/>
        <w:szCs w:val="18"/>
      </w:rPr>
      <w:fldChar w:fldCharType="begin"/>
    </w:r>
    <w:r w:rsidRPr="00E7158F">
      <w:rPr>
        <w:rStyle w:val="slostrnky"/>
        <w:color w:val="808080" w:themeColor="background1" w:themeShade="80"/>
        <w:sz w:val="18"/>
        <w:szCs w:val="18"/>
      </w:rPr>
      <w:instrText xml:space="preserve"> PAGE </w:instrText>
    </w:r>
    <w:r w:rsidRPr="00E7158F">
      <w:rPr>
        <w:rStyle w:val="slostrnky"/>
        <w:color w:val="808080" w:themeColor="background1" w:themeShade="80"/>
        <w:sz w:val="18"/>
        <w:szCs w:val="18"/>
      </w:rPr>
      <w:fldChar w:fldCharType="separate"/>
    </w:r>
    <w:r>
      <w:rPr>
        <w:rStyle w:val="slostrnky"/>
        <w:color w:val="808080" w:themeColor="background1" w:themeShade="80"/>
        <w:sz w:val="18"/>
        <w:szCs w:val="18"/>
      </w:rPr>
      <w:t>7</w:t>
    </w:r>
    <w:r w:rsidRPr="00E7158F">
      <w:rPr>
        <w:rStyle w:val="slostrnky"/>
        <w:color w:val="808080" w:themeColor="background1" w:themeShade="80"/>
        <w:sz w:val="18"/>
        <w:szCs w:val="18"/>
      </w:rPr>
      <w:fldChar w:fldCharType="end"/>
    </w:r>
    <w:r w:rsidRPr="00E7158F">
      <w:rPr>
        <w:rStyle w:val="slostrnky"/>
        <w:color w:val="808080" w:themeColor="background1" w:themeShade="80"/>
        <w:sz w:val="18"/>
        <w:szCs w:val="18"/>
      </w:rPr>
      <w:t xml:space="preserve"> / </w:t>
    </w:r>
    <w:r>
      <w:rPr>
        <w:rStyle w:val="slostrnky"/>
        <w:color w:val="808080" w:themeColor="background1" w:themeShade="80"/>
        <w:sz w:val="18"/>
        <w:szCs w:val="18"/>
      </w:rPr>
      <w:t>5</w:t>
    </w:r>
  </w:p>
  <w:p w14:paraId="6BB0FEBB" w14:textId="77777777" w:rsidR="007714EB" w:rsidRDefault="007714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D56BA" w14:textId="77777777" w:rsidR="008B01F5" w:rsidRDefault="008B01F5" w:rsidP="00872401">
      <w:pPr>
        <w:spacing w:after="0" w:line="240" w:lineRule="auto"/>
      </w:pPr>
      <w:r>
        <w:separator/>
      </w:r>
    </w:p>
  </w:footnote>
  <w:footnote w:type="continuationSeparator" w:id="0">
    <w:p w14:paraId="7DEA4F52" w14:textId="77777777" w:rsidR="008B01F5" w:rsidRDefault="008B01F5" w:rsidP="00872401">
      <w:pPr>
        <w:spacing w:after="0" w:line="240" w:lineRule="auto"/>
      </w:pPr>
      <w:r>
        <w:continuationSeparator/>
      </w:r>
    </w:p>
  </w:footnote>
  <w:footnote w:id="1">
    <w:p w14:paraId="2B9482F3" w14:textId="77777777" w:rsidR="00872401" w:rsidRDefault="00872401" w:rsidP="00872401">
      <w:pPr>
        <w:pStyle w:val="Textpoznpodarou"/>
      </w:pPr>
      <w:r>
        <w:rPr>
          <w:rStyle w:val="Znakapoznpodarou"/>
        </w:rPr>
        <w:footnoteRef/>
      </w:r>
      <w:r>
        <w:t xml:space="preserve"> Srov. ČSN 33 2000-7-712 ed. 2, čl. 712.512.102: „</w:t>
      </w:r>
      <w:r w:rsidRPr="00052AD2">
        <w:rPr>
          <w:i/>
          <w:iCs/>
        </w:rPr>
        <w:t xml:space="preserve">Kryty elektrických zařízení instalované ve venkovním prostředí nesmí mít stupeň ochrany menší než </w:t>
      </w:r>
      <w:r w:rsidRPr="00052AD2">
        <w:rPr>
          <w:b/>
          <w:bCs/>
          <w:i/>
          <w:iCs/>
        </w:rPr>
        <w:t>IP44</w:t>
      </w:r>
      <w:r w:rsidRPr="00052AD2">
        <w:rPr>
          <w:i/>
          <w:iCs/>
        </w:rPr>
        <w:t xml:space="preserve"> v souladu s EN 60529 (…)</w:t>
      </w:r>
      <w:r>
        <w:t>“</w:t>
      </w:r>
    </w:p>
  </w:footnote>
  <w:footnote w:id="2">
    <w:p w14:paraId="7B7071AD" w14:textId="77777777" w:rsidR="00872401" w:rsidRDefault="00872401" w:rsidP="00872401">
      <w:pPr>
        <w:pStyle w:val="Textpoznpodarou"/>
      </w:pPr>
      <w:r>
        <w:rPr>
          <w:rStyle w:val="Znakapoznpodarou"/>
        </w:rPr>
        <w:footnoteRef/>
      </w:r>
      <w:r>
        <w:t xml:space="preserve"> Srov. ČSN 33 2000-7-714 ed. 2, čl. 714.512.2.1: „</w:t>
      </w:r>
      <w:r w:rsidRPr="00052AD2">
        <w:rPr>
          <w:i/>
          <w:iCs/>
        </w:rPr>
        <w:t xml:space="preserve">(…) minimálními požadavky: přítomnost vody: </w:t>
      </w:r>
      <w:r w:rsidRPr="000755AF">
        <w:rPr>
          <w:b/>
          <w:bCs/>
          <w:i/>
          <w:iCs/>
        </w:rPr>
        <w:t>AD3</w:t>
      </w:r>
      <w:r w:rsidRPr="00052AD2">
        <w:rPr>
          <w:i/>
          <w:iCs/>
        </w:rPr>
        <w:t xml:space="preserve"> (vodní tříšť)</w:t>
      </w:r>
      <w:r>
        <w:t>“</w:t>
      </w:r>
    </w:p>
  </w:footnote>
  <w:footnote w:id="3">
    <w:p w14:paraId="23C5EC0A" w14:textId="77777777" w:rsidR="00872401" w:rsidRDefault="00872401" w:rsidP="00872401">
      <w:pPr>
        <w:pStyle w:val="Textpoznpodarou"/>
      </w:pPr>
      <w:r>
        <w:rPr>
          <w:rStyle w:val="Znakapoznpodarou"/>
        </w:rPr>
        <w:footnoteRef/>
      </w:r>
      <w:r>
        <w:t xml:space="preserve"> Srov. ČSN 33 2000-7-722 ed. 3, čl. 722.512.101: „</w:t>
      </w:r>
      <w:r w:rsidRPr="00052AD2">
        <w:rPr>
          <w:i/>
          <w:iCs/>
        </w:rPr>
        <w:t xml:space="preserve">Při instalaci venku, musí mít zvolené zařízení ochranu krytem alespoň </w:t>
      </w:r>
      <w:r w:rsidRPr="000755AF">
        <w:rPr>
          <w:b/>
          <w:bCs/>
          <w:i/>
          <w:iCs/>
        </w:rPr>
        <w:t>IPX4</w:t>
      </w:r>
      <w:r w:rsidRPr="00052AD2">
        <w:rPr>
          <w:i/>
          <w:iCs/>
        </w:rPr>
        <w:t xml:space="preserve"> z důvodu ochrany před stříkající vodou (AD4).</w:t>
      </w:r>
      <w:r>
        <w:t>“</w:t>
      </w:r>
    </w:p>
  </w:footnote>
  <w:footnote w:id="4">
    <w:p w14:paraId="7AFD0E93" w14:textId="7994509B" w:rsidR="00872401" w:rsidRDefault="00872401" w:rsidP="00872401">
      <w:pPr>
        <w:pStyle w:val="Textpoznpodarou"/>
      </w:pPr>
      <w:r>
        <w:rPr>
          <w:rStyle w:val="Znakapoznpodarou"/>
        </w:rPr>
        <w:footnoteRef/>
      </w:r>
      <w:r>
        <w:t xml:space="preserve"> Dle třídy 4S</w:t>
      </w:r>
      <w:r w:rsidR="007E5B3B">
        <w:t>1</w:t>
      </w:r>
      <w:r>
        <w:t xml:space="preserve"> dle ČSN EN 60721-3-4, čl. A.3.4: „</w:t>
      </w:r>
      <w:r w:rsidRPr="00052AD2">
        <w:rPr>
          <w:i/>
          <w:iCs/>
        </w:rPr>
        <w:t xml:space="preserve">(…) </w:t>
      </w:r>
      <w:r w:rsidR="007E5B3B">
        <w:rPr>
          <w:i/>
          <w:iCs/>
        </w:rPr>
        <w:t>pokrývá podmínky míst ve venkovských oblastech</w:t>
      </w:r>
      <w:r w:rsidRPr="00052AD2">
        <w:rPr>
          <w:i/>
          <w:iCs/>
        </w:rPr>
        <w:t xml:space="preserve"> (…)</w:t>
      </w:r>
      <w:r>
        <w:t>“</w:t>
      </w:r>
    </w:p>
  </w:footnote>
  <w:footnote w:id="5">
    <w:p w14:paraId="59252087" w14:textId="239E7BB5" w:rsidR="00872401" w:rsidRDefault="00872401" w:rsidP="00872401">
      <w:pPr>
        <w:pStyle w:val="Textpoznpodarou"/>
      </w:pPr>
      <w:r>
        <w:rPr>
          <w:rStyle w:val="Znakapoznpodarou"/>
        </w:rPr>
        <w:footnoteRef/>
      </w:r>
      <w:r>
        <w:t xml:space="preserve"> Dle třídy 4C</w:t>
      </w:r>
      <w:r w:rsidR="007E5B3B">
        <w:t>1</w:t>
      </w:r>
      <w:r>
        <w:t xml:space="preserve"> dle ČSN EN 60721-3-4, čl. A.3.3: „</w:t>
      </w:r>
      <w:r w:rsidRPr="00052AD2">
        <w:rPr>
          <w:i/>
          <w:iCs/>
        </w:rPr>
        <w:t>(…)</w:t>
      </w:r>
      <w:r w:rsidR="007E5B3B">
        <w:rPr>
          <w:i/>
          <w:iCs/>
        </w:rPr>
        <w:t xml:space="preserve"> podmínky míst ve venkovských a městských oblastech se slabou průmyslovou činností</w:t>
      </w:r>
      <w:r w:rsidRPr="00052AD2">
        <w:rPr>
          <w:i/>
          <w:iCs/>
        </w:rPr>
        <w:t>(…)</w:t>
      </w:r>
      <w:r>
        <w:t>“</w:t>
      </w:r>
    </w:p>
  </w:footnote>
  <w:footnote w:id="6">
    <w:p w14:paraId="005DB017" w14:textId="77777777" w:rsidR="00872401" w:rsidRDefault="00872401" w:rsidP="00872401">
      <w:pPr>
        <w:pStyle w:val="Textpoznpodarou"/>
      </w:pPr>
      <w:r>
        <w:rPr>
          <w:rStyle w:val="Znakapoznpodarou"/>
        </w:rPr>
        <w:footnoteRef/>
      </w:r>
      <w:r>
        <w:t xml:space="preserve"> Dle mapy větrných oblastí v ČSN EN 1991-1-4 ed.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0F98"/>
    <w:multiLevelType w:val="hybridMultilevel"/>
    <w:tmpl w:val="B45A6486"/>
    <w:lvl w:ilvl="0" w:tplc="9020AF18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F5CEF"/>
    <w:multiLevelType w:val="hybridMultilevel"/>
    <w:tmpl w:val="15A0D8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F133B0"/>
    <w:multiLevelType w:val="hybridMultilevel"/>
    <w:tmpl w:val="1B840588"/>
    <w:lvl w:ilvl="0" w:tplc="9020AF18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337CD"/>
    <w:multiLevelType w:val="hybridMultilevel"/>
    <w:tmpl w:val="2DBAB0FE"/>
    <w:lvl w:ilvl="0" w:tplc="9020AF18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401"/>
    <w:rsid w:val="000642B6"/>
    <w:rsid w:val="000B4BD4"/>
    <w:rsid w:val="00241861"/>
    <w:rsid w:val="00284D15"/>
    <w:rsid w:val="002A7D1E"/>
    <w:rsid w:val="00596AB0"/>
    <w:rsid w:val="005D218B"/>
    <w:rsid w:val="007055BD"/>
    <w:rsid w:val="007677CD"/>
    <w:rsid w:val="007714EB"/>
    <w:rsid w:val="007B654E"/>
    <w:rsid w:val="007E5B3B"/>
    <w:rsid w:val="00872401"/>
    <w:rsid w:val="008B01F5"/>
    <w:rsid w:val="00992C4F"/>
    <w:rsid w:val="009B185E"/>
    <w:rsid w:val="00A252E4"/>
    <w:rsid w:val="00A6490D"/>
    <w:rsid w:val="00A67AD6"/>
    <w:rsid w:val="00B54299"/>
    <w:rsid w:val="00BB5D00"/>
    <w:rsid w:val="00C16C94"/>
    <w:rsid w:val="00CB04AF"/>
    <w:rsid w:val="00DA182C"/>
    <w:rsid w:val="00E07336"/>
    <w:rsid w:val="00E4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F40B"/>
  <w15:chartTrackingRefBased/>
  <w15:docId w15:val="{B7FEE63B-203C-45ED-8631-319CFE1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401"/>
    <w:rPr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72401"/>
    <w:pPr>
      <w:spacing w:after="120" w:line="276" w:lineRule="auto"/>
      <w:ind w:left="737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99"/>
    <w:rsid w:val="00872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872401"/>
    <w:pPr>
      <w:spacing w:after="60" w:line="240" w:lineRule="auto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01"/>
    <w:rPr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7240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7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14EB"/>
    <w:rPr>
      <w:sz w:val="20"/>
    </w:rPr>
  </w:style>
  <w:style w:type="paragraph" w:styleId="Zpat">
    <w:name w:val="footer"/>
    <w:basedOn w:val="Normln"/>
    <w:link w:val="ZpatChar"/>
    <w:unhideWhenUsed/>
    <w:rsid w:val="0077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14EB"/>
    <w:rPr>
      <w:sz w:val="20"/>
    </w:rPr>
  </w:style>
  <w:style w:type="character" w:styleId="slostrnky">
    <w:name w:val="page number"/>
    <w:basedOn w:val="Standardnpsmoodstavce"/>
    <w:rsid w:val="0077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1464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Růžička</dc:creator>
  <cp:keywords/>
  <dc:description/>
  <cp:lastModifiedBy>Jan Inwald</cp:lastModifiedBy>
  <cp:revision>14</cp:revision>
  <dcterms:created xsi:type="dcterms:W3CDTF">2021-12-01T16:55:00Z</dcterms:created>
  <dcterms:modified xsi:type="dcterms:W3CDTF">2021-12-02T11:13:00Z</dcterms:modified>
</cp:coreProperties>
</file>